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996AE" w14:textId="5BFD894D" w:rsidR="00725E10" w:rsidRPr="00DE3CE6" w:rsidRDefault="005310E4" w:rsidP="00924F95">
      <w:pPr>
        <w:jc w:val="both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465E6065" wp14:editId="1C39444A">
            <wp:extent cx="1181100" cy="895350"/>
            <wp:effectExtent l="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E10" w:rsidRPr="00DE3CE6">
        <w:rPr>
          <w:noProof/>
          <w:lang w:eastAsia="it-IT"/>
        </w:rPr>
        <w:t xml:space="preserve"> </w:t>
      </w:r>
    </w:p>
    <w:p w14:paraId="03064E22" w14:textId="77777777" w:rsidR="00725E10" w:rsidRPr="00DE3CE6" w:rsidRDefault="00725E10" w:rsidP="00924F95">
      <w:pPr>
        <w:jc w:val="both"/>
        <w:rPr>
          <w:noProof/>
          <w:lang w:eastAsia="it-IT"/>
        </w:rPr>
      </w:pPr>
    </w:p>
    <w:p w14:paraId="23F01551" w14:textId="77777777" w:rsidR="00725E10" w:rsidRPr="00DE3CE6" w:rsidRDefault="00725E10" w:rsidP="00B174B9">
      <w:pPr>
        <w:spacing w:after="0" w:line="240" w:lineRule="auto"/>
        <w:jc w:val="both"/>
        <w:rPr>
          <w:rFonts w:cs="Calibri"/>
          <w:lang w:eastAsia="ja-JP"/>
        </w:rPr>
      </w:pPr>
      <w:r w:rsidRPr="00DE3CE6">
        <w:rPr>
          <w:rFonts w:cs="Calibri"/>
          <w:sz w:val="56"/>
          <w:szCs w:val="56"/>
        </w:rPr>
        <w:t xml:space="preserve">Sorveglianza </w:t>
      </w:r>
      <w:r>
        <w:rPr>
          <w:rFonts w:cs="Calibri"/>
          <w:sz w:val="56"/>
          <w:szCs w:val="56"/>
        </w:rPr>
        <w:t>COVID</w:t>
      </w:r>
      <w:r w:rsidRPr="00DE3CE6">
        <w:rPr>
          <w:rFonts w:cs="Calibri"/>
          <w:sz w:val="56"/>
          <w:szCs w:val="56"/>
        </w:rPr>
        <w:t>-19</w:t>
      </w:r>
    </w:p>
    <w:p w14:paraId="4795A397" w14:textId="77777777" w:rsidR="00725E10" w:rsidRPr="00DE3CE6" w:rsidRDefault="00725E10" w:rsidP="00B174B9">
      <w:pPr>
        <w:spacing w:after="0" w:line="240" w:lineRule="auto"/>
        <w:jc w:val="both"/>
        <w:rPr>
          <w:rFonts w:cs="Calibri"/>
          <w:lang w:eastAsia="ja-JP"/>
        </w:rPr>
      </w:pPr>
    </w:p>
    <w:p w14:paraId="52B1AB2D" w14:textId="77777777" w:rsidR="00725E10" w:rsidRPr="00DE3CE6" w:rsidRDefault="00725E10" w:rsidP="00B174B9">
      <w:pPr>
        <w:keepNext/>
        <w:keepLines/>
        <w:pBdr>
          <w:top w:val="single" w:sz="24" w:space="1" w:color="44546A"/>
          <w:bottom w:val="single" w:sz="24" w:space="1" w:color="44546A"/>
        </w:pBdr>
        <w:spacing w:before="240" w:after="120" w:line="240" w:lineRule="auto"/>
        <w:jc w:val="both"/>
        <w:outlineLvl w:val="1"/>
        <w:rPr>
          <w:rFonts w:cs="Calibri"/>
          <w:b/>
          <w:color w:val="5B9BD5"/>
          <w:sz w:val="38"/>
          <w:szCs w:val="38"/>
        </w:rPr>
      </w:pPr>
    </w:p>
    <w:p w14:paraId="0500B697" w14:textId="77777777" w:rsidR="00725E10" w:rsidRPr="00DE3CE6" w:rsidRDefault="00725E10" w:rsidP="00B174B9">
      <w:pPr>
        <w:keepNext/>
        <w:keepLines/>
        <w:pBdr>
          <w:top w:val="single" w:sz="24" w:space="1" w:color="44546A"/>
          <w:bottom w:val="single" w:sz="24" w:space="1" w:color="44546A"/>
        </w:pBdr>
        <w:spacing w:before="240" w:after="120" w:line="240" w:lineRule="auto"/>
        <w:jc w:val="both"/>
        <w:outlineLvl w:val="1"/>
        <w:rPr>
          <w:rFonts w:cs="Calibri"/>
          <w:b/>
          <w:color w:val="5B9BD5"/>
          <w:sz w:val="38"/>
          <w:szCs w:val="38"/>
        </w:rPr>
      </w:pPr>
      <w:r w:rsidRPr="00DE3CE6">
        <w:rPr>
          <w:rFonts w:cs="Calibri"/>
          <w:b/>
          <w:color w:val="5B9BD5"/>
          <w:sz w:val="38"/>
          <w:szCs w:val="38"/>
        </w:rPr>
        <w:t>SORVEGLIANZA STRUTTURE RESIDENZIALI SOCIO-SANITARIE NELL’EMERGENZA COVID-19</w:t>
      </w:r>
    </w:p>
    <w:p w14:paraId="07697F26" w14:textId="77777777" w:rsidR="00725E10" w:rsidRPr="00DE3CE6" w:rsidRDefault="00725E10" w:rsidP="00924F95">
      <w:pPr>
        <w:keepNext/>
        <w:keepLines/>
        <w:pBdr>
          <w:top w:val="single" w:sz="24" w:space="1" w:color="44546A"/>
          <w:bottom w:val="single" w:sz="24" w:space="1" w:color="44546A"/>
        </w:pBdr>
        <w:spacing w:before="240" w:after="120" w:line="240" w:lineRule="auto"/>
        <w:jc w:val="both"/>
        <w:outlineLvl w:val="1"/>
        <w:rPr>
          <w:rFonts w:cs="Calibri"/>
          <w:b/>
          <w:color w:val="5B9BD5"/>
          <w:sz w:val="38"/>
          <w:szCs w:val="38"/>
        </w:rPr>
      </w:pPr>
    </w:p>
    <w:p w14:paraId="753F826F" w14:textId="77777777" w:rsidR="00725E10" w:rsidRPr="00DE3CE6" w:rsidRDefault="00725E10" w:rsidP="00B174B9">
      <w:pPr>
        <w:keepNext/>
        <w:keepLines/>
        <w:pBdr>
          <w:top w:val="single" w:sz="24" w:space="1" w:color="44546A"/>
          <w:bottom w:val="single" w:sz="24" w:space="1" w:color="44546A"/>
        </w:pBdr>
        <w:spacing w:before="240" w:after="120" w:line="240" w:lineRule="auto"/>
        <w:jc w:val="both"/>
        <w:outlineLvl w:val="1"/>
        <w:rPr>
          <w:rFonts w:cs="Calibri"/>
          <w:b/>
          <w:color w:val="5B9BD5"/>
          <w:sz w:val="38"/>
          <w:szCs w:val="38"/>
        </w:rPr>
      </w:pPr>
      <w:r w:rsidRPr="00DE3CE6">
        <w:rPr>
          <w:rFonts w:cs="Calibri"/>
          <w:b/>
          <w:color w:val="5B9BD5"/>
          <w:sz w:val="38"/>
          <w:szCs w:val="38"/>
        </w:rPr>
        <w:t xml:space="preserve">Report Nazionale </w:t>
      </w:r>
    </w:p>
    <w:p w14:paraId="207BCDEB" w14:textId="77777777" w:rsidR="00725E10" w:rsidRPr="00DE3CE6" w:rsidRDefault="00725E10" w:rsidP="00B174B9">
      <w:pPr>
        <w:keepNext/>
        <w:keepLines/>
        <w:pBdr>
          <w:top w:val="single" w:sz="24" w:space="1" w:color="44546A"/>
          <w:bottom w:val="single" w:sz="24" w:space="1" w:color="44546A"/>
        </w:pBdr>
        <w:spacing w:before="240" w:after="120" w:line="240" w:lineRule="auto"/>
        <w:jc w:val="both"/>
        <w:outlineLvl w:val="1"/>
        <w:rPr>
          <w:rFonts w:cs="Calibri"/>
          <w:b/>
          <w:color w:val="5B9BD5"/>
          <w:sz w:val="38"/>
          <w:szCs w:val="38"/>
        </w:rPr>
      </w:pPr>
      <w:r w:rsidRPr="00DE3CE6">
        <w:rPr>
          <w:rFonts w:cs="Calibri"/>
          <w:b/>
          <w:color w:val="5B9BD5"/>
          <w:sz w:val="38"/>
          <w:szCs w:val="38"/>
        </w:rPr>
        <w:t xml:space="preserve">Andamento temporale </w:t>
      </w:r>
      <w:r>
        <w:rPr>
          <w:rFonts w:cs="Calibri"/>
          <w:b/>
          <w:color w:val="5B9BD5"/>
          <w:sz w:val="38"/>
          <w:szCs w:val="38"/>
        </w:rPr>
        <w:t>dell’epidemia di COVID-19</w:t>
      </w:r>
    </w:p>
    <w:p w14:paraId="74FAB530" w14:textId="7B24BA4C" w:rsidR="00725E10" w:rsidRPr="00DE3CE6" w:rsidRDefault="00725E10" w:rsidP="00C122F1">
      <w:pPr>
        <w:keepNext/>
        <w:keepLines/>
        <w:pBdr>
          <w:top w:val="single" w:sz="24" w:space="1" w:color="44546A"/>
          <w:bottom w:val="single" w:sz="24" w:space="1" w:color="44546A"/>
        </w:pBdr>
        <w:spacing w:before="240" w:after="120" w:line="240" w:lineRule="auto"/>
        <w:jc w:val="both"/>
        <w:outlineLvl w:val="1"/>
        <w:rPr>
          <w:rFonts w:cs="Calibri"/>
          <w:lang w:eastAsia="ja-JP"/>
        </w:rPr>
      </w:pPr>
      <w:r w:rsidRPr="00F11FEC">
        <w:rPr>
          <w:rFonts w:cs="Calibri"/>
          <w:b/>
          <w:color w:val="5B9BD5"/>
          <w:sz w:val="40"/>
          <w:szCs w:val="38"/>
        </w:rPr>
        <w:t>2</w:t>
      </w:r>
      <w:r w:rsidR="001A4684">
        <w:rPr>
          <w:rFonts w:cs="Calibri"/>
          <w:b/>
          <w:color w:val="5B9BD5"/>
          <w:sz w:val="40"/>
          <w:szCs w:val="38"/>
        </w:rPr>
        <w:t>1</w:t>
      </w:r>
      <w:r w:rsidRPr="00F11FEC">
        <w:rPr>
          <w:rFonts w:cs="Calibri"/>
          <w:b/>
          <w:color w:val="5B9BD5"/>
          <w:sz w:val="40"/>
          <w:szCs w:val="38"/>
        </w:rPr>
        <w:t xml:space="preserve"> Dicembre 2020 – </w:t>
      </w:r>
      <w:r w:rsidR="008D2110">
        <w:rPr>
          <w:rFonts w:cs="Calibri"/>
          <w:b/>
          <w:color w:val="5B9BD5"/>
          <w:sz w:val="40"/>
          <w:szCs w:val="38"/>
        </w:rPr>
        <w:t>18 settembre</w:t>
      </w:r>
      <w:r w:rsidRPr="00F11FEC">
        <w:rPr>
          <w:rFonts w:cs="Calibri"/>
          <w:b/>
          <w:color w:val="5B9BD5"/>
          <w:sz w:val="40"/>
          <w:szCs w:val="38"/>
        </w:rPr>
        <w:t xml:space="preserve"> 2022</w:t>
      </w:r>
    </w:p>
    <w:p w14:paraId="5105EAB2" w14:textId="77777777" w:rsidR="00725E10" w:rsidRPr="00DE3CE6" w:rsidRDefault="00725E10" w:rsidP="00E041F4">
      <w:pPr>
        <w:spacing w:after="0" w:line="240" w:lineRule="auto"/>
        <w:jc w:val="both"/>
        <w:rPr>
          <w:rFonts w:cs="Calibri"/>
          <w:sz w:val="24"/>
        </w:rPr>
      </w:pPr>
    </w:p>
    <w:p w14:paraId="6B099D08" w14:textId="77777777" w:rsidR="00725E10" w:rsidRPr="00DE3CE6" w:rsidRDefault="00725E10" w:rsidP="00B174B9">
      <w:pPr>
        <w:spacing w:after="120" w:line="240" w:lineRule="auto"/>
        <w:jc w:val="both"/>
        <w:rPr>
          <w:rFonts w:cs="Calibri"/>
          <w:b/>
          <w:sz w:val="24"/>
        </w:rPr>
      </w:pPr>
      <w:r w:rsidRPr="00DE3CE6">
        <w:rPr>
          <w:rFonts w:cs="Calibri"/>
          <w:b/>
          <w:sz w:val="24"/>
        </w:rPr>
        <w:t xml:space="preserve">Autori: </w:t>
      </w:r>
    </w:p>
    <w:p w14:paraId="6ADA2B19" w14:textId="01AFAAD5" w:rsidR="00725E10" w:rsidRDefault="00725E10" w:rsidP="00B174B9">
      <w:pPr>
        <w:spacing w:after="120" w:line="240" w:lineRule="auto"/>
        <w:jc w:val="both"/>
        <w:rPr>
          <w:rFonts w:cs="Calibri"/>
          <w:sz w:val="24"/>
        </w:rPr>
      </w:pPr>
      <w:r w:rsidRPr="00B174B9">
        <w:rPr>
          <w:rFonts w:cs="Calibri"/>
          <w:i/>
          <w:sz w:val="24"/>
        </w:rPr>
        <w:t>Istituto Superiore di Sanità:</w:t>
      </w:r>
      <w:r w:rsidRPr="00B174B9">
        <w:rPr>
          <w:rFonts w:cs="Calibri"/>
          <w:sz w:val="24"/>
        </w:rPr>
        <w:t xml:space="preserve"> Claudia Giacomozzi</w:t>
      </w:r>
      <w:r>
        <w:rPr>
          <w:rFonts w:cs="Calibri"/>
          <w:sz w:val="24"/>
        </w:rPr>
        <w:t>,</w:t>
      </w:r>
      <w:r w:rsidRPr="00B174B9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Cecilia Damiano, </w:t>
      </w:r>
      <w:r w:rsidRPr="00B174B9">
        <w:rPr>
          <w:rFonts w:cs="Calibri"/>
          <w:sz w:val="24"/>
        </w:rPr>
        <w:t xml:space="preserve">Chiara Donfrancesco, Cinzia Lo Noce, </w:t>
      </w:r>
      <w:r w:rsidR="002405DE">
        <w:rPr>
          <w:rFonts w:cs="Calibri"/>
          <w:sz w:val="24"/>
        </w:rPr>
        <w:t xml:space="preserve">Marta Barbalace, </w:t>
      </w:r>
      <w:r w:rsidRPr="00B174B9">
        <w:rPr>
          <w:rFonts w:cs="Calibri"/>
          <w:sz w:val="24"/>
        </w:rPr>
        <w:t>Ilaria Bacigalupo, Paolo Fortunato D’Ancona, Fabio Galati, Anna Di Lonardo, Annapina Palmieri, Tiziana Grisetti, Luigi Palmieri, Maria Luisa Scattoni, Matteo Spuri, Graziano Onder, Silvio Brusaferro</w:t>
      </w:r>
    </w:p>
    <w:p w14:paraId="4EB44D33" w14:textId="77777777" w:rsidR="00725E10" w:rsidRPr="00C17CC8" w:rsidRDefault="00725E10" w:rsidP="00B174B9">
      <w:pPr>
        <w:spacing w:after="120" w:line="240" w:lineRule="auto"/>
        <w:jc w:val="both"/>
        <w:rPr>
          <w:rFonts w:cs="Calibri"/>
          <w:sz w:val="24"/>
        </w:rPr>
      </w:pPr>
      <w:r w:rsidRPr="00C17CC8">
        <w:rPr>
          <w:rFonts w:cs="Calibri"/>
          <w:i/>
          <w:sz w:val="24"/>
        </w:rPr>
        <w:t>Ministero della Salute:</w:t>
      </w:r>
      <w:r w:rsidRPr="00C17CC8">
        <w:rPr>
          <w:rFonts w:cs="Calibri"/>
          <w:sz w:val="24"/>
        </w:rPr>
        <w:t xml:space="preserve"> Anna Caraglia, Michela Sabbatucci, Andrea Siddu</w:t>
      </w:r>
    </w:p>
    <w:p w14:paraId="760285C0" w14:textId="77777777" w:rsidR="00725E10" w:rsidRPr="00C17CC8" w:rsidRDefault="00725E10" w:rsidP="00B174B9">
      <w:pPr>
        <w:spacing w:after="120" w:line="240" w:lineRule="auto"/>
        <w:jc w:val="both"/>
        <w:rPr>
          <w:rFonts w:cs="Calibri"/>
          <w:sz w:val="24"/>
        </w:rPr>
      </w:pPr>
      <w:r w:rsidRPr="00C17CC8">
        <w:rPr>
          <w:rFonts w:cs="Calibri"/>
          <w:i/>
          <w:sz w:val="24"/>
        </w:rPr>
        <w:t>Garante nazionale dei diritti delle persone private della libertà personale:</w:t>
      </w:r>
      <w:r w:rsidRPr="00C17CC8">
        <w:rPr>
          <w:rFonts w:cs="Calibri"/>
          <w:sz w:val="24"/>
        </w:rPr>
        <w:t xml:space="preserve"> Gilda Losito </w:t>
      </w:r>
    </w:p>
    <w:p w14:paraId="59D209FD" w14:textId="77777777" w:rsidR="00725E10" w:rsidRPr="00DE3CE6" w:rsidRDefault="00725E10" w:rsidP="00B174B9">
      <w:pPr>
        <w:spacing w:after="120" w:line="240" w:lineRule="auto"/>
        <w:jc w:val="both"/>
        <w:rPr>
          <w:rFonts w:ascii="Raleway" w:hAnsi="Raleway" w:cs="Tahoma"/>
          <w:sz w:val="24"/>
        </w:rPr>
      </w:pPr>
      <w:r w:rsidRPr="00C17CC8">
        <w:rPr>
          <w:rFonts w:cs="Calibri"/>
          <w:i/>
          <w:sz w:val="24"/>
        </w:rPr>
        <w:t>ARS Toscana:</w:t>
      </w:r>
      <w:r w:rsidRPr="00C17CC8">
        <w:rPr>
          <w:rFonts w:cs="Calibri"/>
          <w:sz w:val="24"/>
        </w:rPr>
        <w:t xml:space="preserve"> Francesca Collini</w:t>
      </w:r>
    </w:p>
    <w:p w14:paraId="69D616D5" w14:textId="77777777" w:rsidR="00725E10" w:rsidRPr="00DE3CE6" w:rsidRDefault="00725E10" w:rsidP="00E041F4">
      <w:pPr>
        <w:spacing w:after="0" w:line="240" w:lineRule="auto"/>
        <w:jc w:val="both"/>
        <w:rPr>
          <w:rFonts w:cs="Calibri"/>
          <w:sz w:val="24"/>
        </w:rPr>
      </w:pPr>
    </w:p>
    <w:p w14:paraId="5536E71C" w14:textId="515657F5" w:rsidR="00725E10" w:rsidRDefault="00725E10" w:rsidP="00C122F1">
      <w:pPr>
        <w:spacing w:line="240" w:lineRule="auto"/>
        <w:rPr>
          <w:rFonts w:cs="Calibri"/>
          <w:sz w:val="24"/>
        </w:rPr>
      </w:pPr>
      <w:r w:rsidRPr="00DE3CE6">
        <w:rPr>
          <w:rFonts w:cs="Calibri"/>
          <w:sz w:val="24"/>
        </w:rPr>
        <w:t>Si ringraziano i referenti delle Regioni partecipanti: Ester Di Cino, Rosaria Di Giuseppe</w:t>
      </w:r>
      <w:r>
        <w:rPr>
          <w:rFonts w:cs="Calibri"/>
          <w:sz w:val="24"/>
        </w:rPr>
        <w:t>,</w:t>
      </w:r>
      <w:r w:rsidRPr="00DE3CE6">
        <w:rPr>
          <w:rFonts w:cs="Calibri"/>
          <w:sz w:val="24"/>
        </w:rPr>
        <w:t xml:space="preserve"> Dalia Palmieri</w:t>
      </w:r>
      <w:r>
        <w:rPr>
          <w:rFonts w:cs="Calibri"/>
          <w:sz w:val="24"/>
        </w:rPr>
        <w:t xml:space="preserve"> e </w:t>
      </w:r>
      <w:r w:rsidRPr="00DE3CE6">
        <w:rPr>
          <w:rFonts w:cs="Calibri"/>
          <w:sz w:val="24"/>
        </w:rPr>
        <w:t>Antona Petrucci (Abruzzo)</w:t>
      </w:r>
      <w:r>
        <w:rPr>
          <w:rFonts w:cs="Calibri"/>
          <w:sz w:val="24"/>
        </w:rPr>
        <w:t xml:space="preserve">, </w:t>
      </w:r>
      <w:r w:rsidRPr="00DE3CE6">
        <w:rPr>
          <w:rFonts w:cs="Calibri"/>
          <w:sz w:val="24"/>
        </w:rPr>
        <w:t>Marina Rinaldi e Ugo Trama (Campania)</w:t>
      </w:r>
      <w:r>
        <w:rPr>
          <w:rFonts w:cs="Calibri"/>
          <w:sz w:val="24"/>
        </w:rPr>
        <w:t xml:space="preserve">, </w:t>
      </w:r>
      <w:r w:rsidRPr="00DE3CE6">
        <w:rPr>
          <w:rFonts w:cs="Calibri"/>
          <w:sz w:val="24"/>
        </w:rPr>
        <w:t>Cristina Carletti</w:t>
      </w:r>
      <w:r>
        <w:rPr>
          <w:rFonts w:cs="Calibri"/>
          <w:sz w:val="24"/>
        </w:rPr>
        <w:t>,</w:t>
      </w:r>
      <w:r w:rsidRPr="00DE3CE6">
        <w:rPr>
          <w:rFonts w:cs="Calibri"/>
          <w:sz w:val="24"/>
        </w:rPr>
        <w:t xml:space="preserve"> Filippo Masera</w:t>
      </w:r>
      <w:r>
        <w:rPr>
          <w:rFonts w:cs="Calibri"/>
          <w:sz w:val="24"/>
        </w:rPr>
        <w:t xml:space="preserve"> e </w:t>
      </w:r>
      <w:r w:rsidRPr="006B3CF9">
        <w:rPr>
          <w:rFonts w:cs="Calibri"/>
          <w:sz w:val="24"/>
        </w:rPr>
        <w:t>Marco Pompili</w:t>
      </w:r>
      <w:r w:rsidRPr="00DE3CE6">
        <w:rPr>
          <w:rFonts w:cs="Calibri"/>
          <w:sz w:val="24"/>
        </w:rPr>
        <w:t xml:space="preserve"> (Marche)</w:t>
      </w:r>
      <w:r>
        <w:rPr>
          <w:rFonts w:cs="Calibri"/>
          <w:sz w:val="24"/>
        </w:rPr>
        <w:t xml:space="preserve">, </w:t>
      </w:r>
      <w:r w:rsidRPr="00DE3CE6">
        <w:rPr>
          <w:rFonts w:cs="Calibri"/>
          <w:sz w:val="24"/>
        </w:rPr>
        <w:t>Marina Prezioso</w:t>
      </w:r>
      <w:r>
        <w:rPr>
          <w:rFonts w:cs="Calibri"/>
          <w:sz w:val="24"/>
        </w:rPr>
        <w:t xml:space="preserve"> e Sergio Rago</w:t>
      </w:r>
      <w:r w:rsidRPr="00DE3CE6">
        <w:rPr>
          <w:rFonts w:cs="Calibri"/>
          <w:sz w:val="24"/>
        </w:rPr>
        <w:t xml:space="preserve"> (Molise)</w:t>
      </w:r>
      <w:r>
        <w:rPr>
          <w:rFonts w:cs="Calibri"/>
          <w:sz w:val="24"/>
        </w:rPr>
        <w:t xml:space="preserve">, </w:t>
      </w:r>
      <w:r w:rsidRPr="00DE3CE6">
        <w:rPr>
          <w:rFonts w:cs="Calibri"/>
          <w:sz w:val="24"/>
        </w:rPr>
        <w:t>Mariapaola Ferro (Sicilia),</w:t>
      </w:r>
      <w:r>
        <w:rPr>
          <w:rFonts w:cs="Calibri"/>
          <w:sz w:val="24"/>
        </w:rPr>
        <w:t xml:space="preserve"> Nicola Caruso</w:t>
      </w:r>
      <w:r w:rsidRPr="00DE3CE6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e </w:t>
      </w:r>
      <w:r w:rsidRPr="00DE3CE6">
        <w:rPr>
          <w:rFonts w:cs="Calibri"/>
          <w:sz w:val="24"/>
        </w:rPr>
        <w:t>Barbara Trambusti</w:t>
      </w:r>
      <w:r>
        <w:rPr>
          <w:rFonts w:cs="Calibri"/>
          <w:sz w:val="24"/>
        </w:rPr>
        <w:t xml:space="preserve"> </w:t>
      </w:r>
      <w:r w:rsidRPr="00DE3CE6">
        <w:rPr>
          <w:rFonts w:cs="Calibri"/>
          <w:sz w:val="24"/>
        </w:rPr>
        <w:t>(Toscana), Sara Diemoz</w:t>
      </w:r>
      <w:r>
        <w:rPr>
          <w:rFonts w:cs="Calibri"/>
          <w:sz w:val="24"/>
        </w:rPr>
        <w:t xml:space="preserve"> e </w:t>
      </w:r>
      <w:r w:rsidRPr="009D3EDD">
        <w:rPr>
          <w:rFonts w:cs="Calibri"/>
          <w:sz w:val="24"/>
        </w:rPr>
        <w:t>Giuliana Vuillermin</w:t>
      </w:r>
      <w:r w:rsidRPr="00DE3CE6">
        <w:rPr>
          <w:rFonts w:cs="Calibri"/>
          <w:sz w:val="24"/>
        </w:rPr>
        <w:t xml:space="preserve"> (Valle d’Aosta)</w:t>
      </w:r>
      <w:r w:rsidR="00607FA1">
        <w:rPr>
          <w:rFonts w:cs="Calibri"/>
          <w:sz w:val="24"/>
        </w:rPr>
        <w:t xml:space="preserve">, Bruno </w:t>
      </w:r>
      <w:proofErr w:type="spellStart"/>
      <w:r w:rsidR="00607FA1">
        <w:rPr>
          <w:rFonts w:cs="Calibri"/>
          <w:sz w:val="24"/>
        </w:rPr>
        <w:t>Taburchi</w:t>
      </w:r>
      <w:proofErr w:type="spellEnd"/>
      <w:r w:rsidR="00607FA1">
        <w:rPr>
          <w:rFonts w:cs="Calibri"/>
          <w:sz w:val="24"/>
        </w:rPr>
        <w:t xml:space="preserve"> (Umbria)</w:t>
      </w:r>
      <w:r>
        <w:rPr>
          <w:rFonts w:cs="Calibri"/>
          <w:sz w:val="24"/>
        </w:rPr>
        <w:t>.</w:t>
      </w:r>
      <w:r w:rsidRPr="00DE3CE6">
        <w:rPr>
          <w:rFonts w:cs="Calibri"/>
          <w:sz w:val="24"/>
        </w:rPr>
        <w:t xml:space="preserve"> </w:t>
      </w:r>
    </w:p>
    <w:p w14:paraId="364CEF12" w14:textId="77777777" w:rsidR="00725E10" w:rsidRPr="00DE3CE6" w:rsidRDefault="00725E10" w:rsidP="00B174B9">
      <w:pPr>
        <w:spacing w:after="120" w:line="240" w:lineRule="auto"/>
        <w:jc w:val="both"/>
        <w:rPr>
          <w:rFonts w:cs="Calibri"/>
          <w:sz w:val="24"/>
        </w:rPr>
      </w:pPr>
      <w:r w:rsidRPr="00DE3CE6">
        <w:rPr>
          <w:rFonts w:cs="Calibri"/>
          <w:sz w:val="24"/>
        </w:rPr>
        <w:t>Si ringrazia inoltre il personale delle strutture che hanno partecipato alla sorveglianza per il loro contributo a questa indagine.</w:t>
      </w:r>
    </w:p>
    <w:p w14:paraId="407C4D78" w14:textId="5DA2D1C6" w:rsidR="00725E10" w:rsidRPr="00A967EB" w:rsidRDefault="00A967EB" w:rsidP="008920FF">
      <w:pPr>
        <w:keepNext/>
        <w:keepLines/>
        <w:spacing w:before="240" w:after="120" w:line="240" w:lineRule="auto"/>
        <w:jc w:val="both"/>
        <w:outlineLvl w:val="1"/>
        <w:rPr>
          <w:rFonts w:cs="Calibri"/>
          <w:b/>
          <w:sz w:val="28"/>
          <w:szCs w:val="24"/>
        </w:rPr>
      </w:pPr>
      <w:r>
        <w:rPr>
          <w:rFonts w:cs="Calibri"/>
          <w:b/>
          <w:color w:val="5B9BD5"/>
          <w:sz w:val="28"/>
          <w:szCs w:val="24"/>
        </w:rPr>
        <w:lastRenderedPageBreak/>
        <w:t>Sintesi</w:t>
      </w:r>
    </w:p>
    <w:p w14:paraId="7BB4DCD1" w14:textId="226C8619" w:rsidR="00725E10" w:rsidRPr="00A967EB" w:rsidRDefault="00725E10" w:rsidP="001B48B7">
      <w:pPr>
        <w:jc w:val="both"/>
        <w:rPr>
          <w:rFonts w:cs="Calibri"/>
          <w:sz w:val="24"/>
          <w:szCs w:val="24"/>
        </w:rPr>
      </w:pPr>
      <w:r w:rsidRPr="00A967EB">
        <w:rPr>
          <w:rFonts w:cs="Calibri"/>
          <w:sz w:val="24"/>
          <w:szCs w:val="24"/>
        </w:rPr>
        <w:t>Sono 8</w:t>
      </w:r>
      <w:r w:rsidR="000C4C27" w:rsidRPr="00A967EB">
        <w:rPr>
          <w:rFonts w:cs="Calibri"/>
          <w:sz w:val="24"/>
          <w:szCs w:val="24"/>
        </w:rPr>
        <w:t>5</w:t>
      </w:r>
      <w:r w:rsidRPr="00A967EB">
        <w:rPr>
          <w:rFonts w:cs="Calibri"/>
          <w:sz w:val="24"/>
          <w:szCs w:val="24"/>
        </w:rPr>
        <w:t>3 le strutture residenziali che complessivamente hanno partecipato alla sorveglianza delle strutture residenziali socio-sanitarie durante l’emergenza COVID-19 dal 2</w:t>
      </w:r>
      <w:r w:rsidR="001A4684">
        <w:rPr>
          <w:rFonts w:cs="Calibri"/>
          <w:sz w:val="24"/>
          <w:szCs w:val="24"/>
        </w:rPr>
        <w:t>1</w:t>
      </w:r>
      <w:r w:rsidRPr="00A967EB">
        <w:rPr>
          <w:rFonts w:cs="Calibri"/>
          <w:sz w:val="24"/>
          <w:szCs w:val="24"/>
        </w:rPr>
        <w:t xml:space="preserve"> dicembre 2020 al </w:t>
      </w:r>
      <w:r w:rsidR="008D2110">
        <w:rPr>
          <w:rFonts w:cs="Calibri"/>
          <w:sz w:val="24"/>
          <w:szCs w:val="24"/>
        </w:rPr>
        <w:t>18 settembre</w:t>
      </w:r>
      <w:r w:rsidRPr="00A967EB">
        <w:rPr>
          <w:rFonts w:cs="Calibri"/>
          <w:sz w:val="24"/>
          <w:szCs w:val="24"/>
        </w:rPr>
        <w:t xml:space="preserve"> 2022,</w:t>
      </w:r>
      <w:r w:rsidR="00634CE7">
        <w:rPr>
          <w:rFonts w:cs="Calibri"/>
          <w:sz w:val="24"/>
          <w:szCs w:val="24"/>
        </w:rPr>
        <w:t xml:space="preserve"> provenienti da </w:t>
      </w:r>
      <w:r w:rsidR="00A97911">
        <w:rPr>
          <w:rFonts w:cs="Calibri"/>
          <w:sz w:val="24"/>
          <w:szCs w:val="24"/>
        </w:rPr>
        <w:t>7</w:t>
      </w:r>
      <w:r w:rsidR="00634CE7">
        <w:rPr>
          <w:rFonts w:cs="Calibri"/>
          <w:sz w:val="24"/>
          <w:szCs w:val="24"/>
        </w:rPr>
        <w:t xml:space="preserve"> regioni e</w:t>
      </w:r>
      <w:r w:rsidRPr="00A967EB">
        <w:rPr>
          <w:rFonts w:cs="Calibri"/>
          <w:sz w:val="24"/>
          <w:szCs w:val="24"/>
        </w:rPr>
        <w:t xml:space="preserve"> per un totale di 31.</w:t>
      </w:r>
      <w:r w:rsidR="003D0221" w:rsidRPr="00A967EB">
        <w:rPr>
          <w:rFonts w:cs="Calibri"/>
          <w:sz w:val="24"/>
          <w:szCs w:val="24"/>
        </w:rPr>
        <w:t>341</w:t>
      </w:r>
      <w:r w:rsidRPr="00A967EB">
        <w:rPr>
          <w:rFonts w:cs="Calibri"/>
          <w:sz w:val="24"/>
          <w:szCs w:val="24"/>
        </w:rPr>
        <w:t xml:space="preserve"> posti letto disponibili. Di queste, alla data dell’ultima rilevazione, 3</w:t>
      </w:r>
      <w:r w:rsidR="000C4C27" w:rsidRPr="00A967EB">
        <w:rPr>
          <w:rFonts w:cs="Calibri"/>
          <w:sz w:val="24"/>
          <w:szCs w:val="24"/>
        </w:rPr>
        <w:t>34</w:t>
      </w:r>
      <w:r w:rsidRPr="00A967EB">
        <w:rPr>
          <w:rFonts w:cs="Calibri"/>
          <w:sz w:val="24"/>
          <w:szCs w:val="24"/>
        </w:rPr>
        <w:t xml:space="preserve"> </w:t>
      </w:r>
      <w:r w:rsidR="008658A8" w:rsidRPr="00A967EB">
        <w:rPr>
          <w:rFonts w:cs="Calibri"/>
          <w:sz w:val="24"/>
          <w:szCs w:val="24"/>
        </w:rPr>
        <w:t>erano</w:t>
      </w:r>
      <w:r w:rsidRPr="00A967EB">
        <w:rPr>
          <w:rFonts w:cs="Calibri"/>
          <w:sz w:val="24"/>
          <w:szCs w:val="24"/>
        </w:rPr>
        <w:t xml:space="preserve"> strutture residenziali per anziani non autosufficienti, per un totale di 14.</w:t>
      </w:r>
      <w:r w:rsidR="001B48B7">
        <w:rPr>
          <w:rFonts w:cs="Calibri"/>
          <w:sz w:val="24"/>
          <w:szCs w:val="24"/>
        </w:rPr>
        <w:t>900</w:t>
      </w:r>
      <w:r w:rsidRPr="00A967EB">
        <w:rPr>
          <w:rFonts w:cs="Calibri"/>
          <w:sz w:val="24"/>
          <w:szCs w:val="24"/>
        </w:rPr>
        <w:t xml:space="preserve"> posti letto.</w:t>
      </w:r>
    </w:p>
    <w:p w14:paraId="6488312A" w14:textId="77777777" w:rsidR="00725E10" w:rsidRPr="00A967EB" w:rsidRDefault="00725E10" w:rsidP="008920FF">
      <w:pPr>
        <w:rPr>
          <w:rFonts w:cs="Calibri"/>
          <w:sz w:val="24"/>
          <w:szCs w:val="24"/>
        </w:rPr>
      </w:pPr>
      <w:r w:rsidRPr="00A967EB">
        <w:rPr>
          <w:rFonts w:cs="Calibri"/>
          <w:sz w:val="24"/>
          <w:szCs w:val="24"/>
        </w:rPr>
        <w:t>Questi i dati principali emersi dall’indagine:</w:t>
      </w:r>
    </w:p>
    <w:p w14:paraId="2732A2FA" w14:textId="5530073C" w:rsidR="00A16929" w:rsidRPr="00A967EB" w:rsidRDefault="00725E10" w:rsidP="00A16929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IDFont+F1" w:hAnsi="CIDFont+F1" w:cs="CIDFont+F1"/>
          <w:sz w:val="24"/>
          <w:szCs w:val="24"/>
        </w:rPr>
      </w:pPr>
      <w:r w:rsidRPr="00A967EB">
        <w:rPr>
          <w:rFonts w:ascii="CIDFont+F1" w:hAnsi="CIDFont+F1" w:cs="CIDFont+F1"/>
          <w:sz w:val="24"/>
          <w:szCs w:val="24"/>
        </w:rPr>
        <w:t>L’incidenza settimanale di casi SARS-CoV-2 positivi nelle strutture residenziali, ancora elevata all’inizio del periodo di osservazione (</w:t>
      </w:r>
      <w:r w:rsidR="00DC6C81" w:rsidRPr="00A967EB">
        <w:rPr>
          <w:rFonts w:ascii="CIDFont+F1" w:hAnsi="CIDFont+F1" w:cs="CIDFont+F1"/>
          <w:sz w:val="24"/>
          <w:szCs w:val="24"/>
        </w:rPr>
        <w:t>gennaio 2021</w:t>
      </w:r>
      <w:r w:rsidRPr="00A967EB">
        <w:rPr>
          <w:rFonts w:ascii="CIDFont+F1" w:hAnsi="CIDFont+F1" w:cs="CIDFont+F1"/>
          <w:sz w:val="24"/>
          <w:szCs w:val="24"/>
        </w:rPr>
        <w:t xml:space="preserve">) per via della seconda ondata epidemica, si è ridotta dopo l’inizio della campagna vaccinale, </w:t>
      </w:r>
      <w:r w:rsidR="008A2F24" w:rsidRPr="00A967EB">
        <w:rPr>
          <w:rFonts w:ascii="CIDFont+F1" w:hAnsi="CIDFont+F1" w:cs="CIDFont+F1"/>
          <w:sz w:val="24"/>
          <w:szCs w:val="24"/>
        </w:rPr>
        <w:t xml:space="preserve">fino a </w:t>
      </w:r>
      <w:r w:rsidRPr="00A967EB">
        <w:rPr>
          <w:rFonts w:ascii="CIDFont+F1" w:hAnsi="CIDFont+F1" w:cs="CIDFont+F1"/>
          <w:sz w:val="24"/>
          <w:szCs w:val="24"/>
        </w:rPr>
        <w:t xml:space="preserve">valori prossimi allo 0,01% durante maggio e giugno 2021. </w:t>
      </w:r>
      <w:r w:rsidR="005C1FA2">
        <w:rPr>
          <w:color w:val="000000"/>
          <w:sz w:val="24"/>
          <w:szCs w:val="24"/>
        </w:rPr>
        <w:t>Dal</w:t>
      </w:r>
      <w:r w:rsidR="005C1FA2" w:rsidRPr="00CC1BE9">
        <w:rPr>
          <w:color w:val="000000"/>
          <w:sz w:val="24"/>
          <w:szCs w:val="24"/>
        </w:rPr>
        <w:t xml:space="preserve"> dicembre </w:t>
      </w:r>
      <w:r w:rsidR="005C1FA2">
        <w:rPr>
          <w:color w:val="000000"/>
          <w:sz w:val="24"/>
          <w:szCs w:val="24"/>
        </w:rPr>
        <w:t xml:space="preserve">2021 e durante l’inizio del 2022 vi </w:t>
      </w:r>
      <w:r w:rsidR="005C1FA2">
        <w:rPr>
          <w:color w:val="000000"/>
          <w:sz w:val="24"/>
          <w:szCs w:val="24"/>
        </w:rPr>
        <w:t xml:space="preserve">è </w:t>
      </w:r>
      <w:r w:rsidR="005C1FA2" w:rsidRPr="00CC1BE9">
        <w:rPr>
          <w:color w:val="000000"/>
          <w:sz w:val="24"/>
          <w:szCs w:val="24"/>
        </w:rPr>
        <w:t>un</w:t>
      </w:r>
      <w:r w:rsidR="007E28A4">
        <w:rPr>
          <w:color w:val="000000"/>
          <w:sz w:val="24"/>
          <w:szCs w:val="24"/>
        </w:rPr>
        <w:t xml:space="preserve"> nuovo</w:t>
      </w:r>
      <w:r w:rsidR="005C1FA2" w:rsidRPr="00CC1BE9">
        <w:rPr>
          <w:color w:val="000000"/>
          <w:sz w:val="24"/>
          <w:szCs w:val="24"/>
        </w:rPr>
        <w:t xml:space="preserve"> aumento </w:t>
      </w:r>
      <w:r w:rsidR="005C1FA2" w:rsidRPr="00CC1BE9">
        <w:rPr>
          <w:color w:val="000000"/>
          <w:sz w:val="24"/>
          <w:szCs w:val="24"/>
        </w:rPr>
        <w:t>dell’incidenza dei contagi</w:t>
      </w:r>
      <w:r w:rsidR="005C1FA2">
        <w:rPr>
          <w:color w:val="000000"/>
          <w:sz w:val="24"/>
          <w:szCs w:val="24"/>
        </w:rPr>
        <w:t>; a gennaio 2022 si raggiunge il 7%</w:t>
      </w:r>
      <w:r w:rsidR="005C1FA2" w:rsidRPr="00CC1BE9">
        <w:rPr>
          <w:color w:val="000000"/>
          <w:sz w:val="24"/>
          <w:szCs w:val="24"/>
        </w:rPr>
        <w:t xml:space="preserve"> di nuovi casi settimana</w:t>
      </w:r>
      <w:r w:rsidR="005C1FA2">
        <w:rPr>
          <w:color w:val="000000"/>
          <w:sz w:val="24"/>
          <w:szCs w:val="24"/>
        </w:rPr>
        <w:t>li</w:t>
      </w:r>
      <w:r w:rsidR="005C1FA2" w:rsidRPr="00CC1BE9">
        <w:rPr>
          <w:color w:val="000000"/>
          <w:sz w:val="24"/>
          <w:szCs w:val="24"/>
        </w:rPr>
        <w:t xml:space="preserve"> nelle strutture per anziani e</w:t>
      </w:r>
      <w:r w:rsidR="005C1FA2">
        <w:rPr>
          <w:color w:val="000000"/>
          <w:sz w:val="24"/>
          <w:szCs w:val="24"/>
        </w:rPr>
        <w:t xml:space="preserve"> il 5</w:t>
      </w:r>
      <w:r w:rsidR="005C1FA2" w:rsidRPr="00CC1BE9">
        <w:rPr>
          <w:color w:val="000000"/>
          <w:sz w:val="24"/>
          <w:szCs w:val="24"/>
        </w:rPr>
        <w:t>% nel totale delle strutture</w:t>
      </w:r>
      <w:r w:rsidR="005C1FA2" w:rsidRPr="00173480">
        <w:rPr>
          <w:color w:val="000000"/>
          <w:sz w:val="24"/>
          <w:szCs w:val="24"/>
        </w:rPr>
        <w:t xml:space="preserve"> residenziali.</w:t>
      </w:r>
      <w:r w:rsidR="005C1FA2">
        <w:rPr>
          <w:color w:val="000000"/>
          <w:sz w:val="24"/>
          <w:szCs w:val="24"/>
        </w:rPr>
        <w:t xml:space="preserve"> Un ulteriore picco, sebbene più basso, avviene a marzo 2022 con un’incidenza pari, rispettivamente, al 4,5% e al 4%. In seguito si osserva un calo dei nuovi casi nelle strutture, con valori prossimi allo 0,3% a inizio giugno, cui segue un nuovo aumento con un picco relativo a luglio 2022 di 1,6% </w:t>
      </w:r>
      <w:r w:rsidR="005C1FA2" w:rsidRPr="00CC1BE9">
        <w:rPr>
          <w:color w:val="000000"/>
          <w:sz w:val="24"/>
          <w:szCs w:val="24"/>
        </w:rPr>
        <w:t>nelle strutture per anziani non autosufficienti e</w:t>
      </w:r>
      <w:r w:rsidR="005C1FA2">
        <w:rPr>
          <w:color w:val="000000"/>
          <w:sz w:val="24"/>
          <w:szCs w:val="24"/>
        </w:rPr>
        <w:t xml:space="preserve"> del 2</w:t>
      </w:r>
      <w:r w:rsidR="005C1FA2" w:rsidRPr="00CC1BE9">
        <w:rPr>
          <w:color w:val="000000"/>
          <w:sz w:val="24"/>
          <w:szCs w:val="24"/>
        </w:rPr>
        <w:t>% nel totale delle strutture</w:t>
      </w:r>
      <w:r w:rsidR="005C1FA2" w:rsidRPr="00173480">
        <w:rPr>
          <w:color w:val="000000"/>
          <w:sz w:val="24"/>
          <w:szCs w:val="24"/>
        </w:rPr>
        <w:t xml:space="preserve"> residenziali</w:t>
      </w:r>
      <w:r w:rsidR="005C1FA2">
        <w:rPr>
          <w:color w:val="000000"/>
          <w:sz w:val="24"/>
          <w:szCs w:val="24"/>
        </w:rPr>
        <w:t xml:space="preserve">. Tale picco è seguito da una deflessione nel numero di nuovi casi a partire da agosto 2022. </w:t>
      </w:r>
      <w:r w:rsidR="008A2F24" w:rsidRPr="00A967EB">
        <w:rPr>
          <w:sz w:val="24"/>
          <w:szCs w:val="24"/>
        </w:rPr>
        <w:t>I picchi</w:t>
      </w:r>
      <w:r w:rsidR="00257A24">
        <w:rPr>
          <w:sz w:val="24"/>
          <w:szCs w:val="24"/>
        </w:rPr>
        <w:t xml:space="preserve"> </w:t>
      </w:r>
      <w:r w:rsidR="005C1FA2">
        <w:rPr>
          <w:sz w:val="24"/>
          <w:szCs w:val="24"/>
        </w:rPr>
        <w:t xml:space="preserve">descritti nel 2022 rispecchiano </w:t>
      </w:r>
      <w:r w:rsidR="008A2F24" w:rsidRPr="00A967EB">
        <w:rPr>
          <w:sz w:val="24"/>
          <w:szCs w:val="24"/>
        </w:rPr>
        <w:t>l’andamento dei contagi nella popolazione generale delle Regioni partecipanti.</w:t>
      </w:r>
    </w:p>
    <w:p w14:paraId="208DDAF3" w14:textId="7C1F0E83" w:rsidR="00725E10" w:rsidRPr="00A967EB" w:rsidRDefault="00725E10" w:rsidP="00A16929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IDFont+F1" w:hAnsi="CIDFont+F1" w:cs="CIDFont+F1"/>
          <w:sz w:val="24"/>
          <w:szCs w:val="24"/>
        </w:rPr>
      </w:pPr>
      <w:r w:rsidRPr="00A967EB">
        <w:rPr>
          <w:rFonts w:ascii="CIDFont+F1" w:hAnsi="CIDFont+F1" w:cs="CIDFont+F1"/>
          <w:sz w:val="24"/>
          <w:szCs w:val="24"/>
        </w:rPr>
        <w:t>L’andamento del numero di strutture residenziali per le quali si è registrato almeno un nuovo caso positivo a SARS-CoV-2 tra i residenti</w:t>
      </w:r>
      <w:r w:rsidR="00C20B1B" w:rsidRPr="00A967EB">
        <w:rPr>
          <w:rFonts w:ascii="CIDFont+F1" w:hAnsi="CIDFont+F1" w:cs="CIDFont+F1"/>
          <w:sz w:val="24"/>
          <w:szCs w:val="24"/>
        </w:rPr>
        <w:t>,</w:t>
      </w:r>
      <w:r w:rsidRPr="00A967EB">
        <w:rPr>
          <w:rFonts w:ascii="CIDFont+F1" w:hAnsi="CIDFont+F1" w:cs="CIDFont+F1"/>
          <w:sz w:val="24"/>
          <w:szCs w:val="24"/>
        </w:rPr>
        <w:t xml:space="preserve"> rapportato al numero totale di strutture residenziali partecipanti alla sorveglianza, </w:t>
      </w:r>
      <w:r w:rsidR="00B23C1A" w:rsidRPr="00A967EB">
        <w:rPr>
          <w:rFonts w:ascii="CIDFont+F1" w:hAnsi="CIDFont+F1" w:cs="CIDFont+F1"/>
          <w:sz w:val="24"/>
          <w:szCs w:val="24"/>
        </w:rPr>
        <w:t xml:space="preserve">ha seguito </w:t>
      </w:r>
      <w:r w:rsidR="00B23C1A" w:rsidRPr="00A967EB">
        <w:rPr>
          <w:sz w:val="24"/>
          <w:szCs w:val="24"/>
        </w:rPr>
        <w:t>i</w:t>
      </w:r>
      <w:r w:rsidRPr="00A967EB">
        <w:rPr>
          <w:sz w:val="24"/>
          <w:szCs w:val="24"/>
        </w:rPr>
        <w:t>l profilo dell’incidenza dei contagi, con una riduzione progressiva per tutte le strutture residenziali nel corso del 2021, fino a raggiungere, nella settimana dal 21 al 27 giugno</w:t>
      </w:r>
      <w:r w:rsidR="00634CE7">
        <w:rPr>
          <w:sz w:val="24"/>
          <w:szCs w:val="24"/>
        </w:rPr>
        <w:t xml:space="preserve"> </w:t>
      </w:r>
      <w:r w:rsidR="00687E2E">
        <w:rPr>
          <w:sz w:val="24"/>
          <w:szCs w:val="24"/>
        </w:rPr>
        <w:t>2021</w:t>
      </w:r>
      <w:r w:rsidRPr="00A967EB">
        <w:rPr>
          <w:sz w:val="24"/>
          <w:szCs w:val="24"/>
        </w:rPr>
        <w:t>, valori inferiori allo 0,01%</w:t>
      </w:r>
      <w:r w:rsidR="00B23C1A" w:rsidRPr="00A967EB">
        <w:rPr>
          <w:sz w:val="24"/>
          <w:szCs w:val="24"/>
        </w:rPr>
        <w:t>, per poi risalire fino al picco del gennaio 2022 (</w:t>
      </w:r>
      <w:r w:rsidRPr="00A967EB">
        <w:rPr>
          <w:sz w:val="24"/>
          <w:szCs w:val="24"/>
        </w:rPr>
        <w:t>27% nelle strutture residenziali per anziani</w:t>
      </w:r>
      <w:r w:rsidR="00B23C1A" w:rsidRPr="00A967EB">
        <w:rPr>
          <w:sz w:val="24"/>
          <w:szCs w:val="24"/>
        </w:rPr>
        <w:t xml:space="preserve">, </w:t>
      </w:r>
      <w:r w:rsidRPr="00A967EB">
        <w:rPr>
          <w:sz w:val="24"/>
          <w:szCs w:val="24"/>
        </w:rPr>
        <w:t>20% in tutte le strutture</w:t>
      </w:r>
      <w:r w:rsidR="00B23C1A" w:rsidRPr="00A967EB">
        <w:rPr>
          <w:sz w:val="24"/>
          <w:szCs w:val="24"/>
        </w:rPr>
        <w:t xml:space="preserve">). </w:t>
      </w:r>
      <w:r w:rsidR="00282FDA">
        <w:rPr>
          <w:sz w:val="24"/>
          <w:szCs w:val="24"/>
        </w:rPr>
        <w:t>Nel luglio 2022 si documenta un nuovo picco fino a raggiungere il</w:t>
      </w:r>
      <w:r w:rsidR="00B23C1A" w:rsidRPr="00A967EB">
        <w:rPr>
          <w:sz w:val="24"/>
          <w:szCs w:val="24"/>
        </w:rPr>
        <w:t xml:space="preserve"> 16%</w:t>
      </w:r>
      <w:r w:rsidR="00282FDA">
        <w:rPr>
          <w:sz w:val="24"/>
          <w:szCs w:val="24"/>
        </w:rPr>
        <w:t xml:space="preserve"> </w:t>
      </w:r>
      <w:r w:rsidR="00DA0686">
        <w:rPr>
          <w:sz w:val="24"/>
          <w:szCs w:val="24"/>
        </w:rPr>
        <w:t>in</w:t>
      </w:r>
      <w:r w:rsidR="00282FDA">
        <w:rPr>
          <w:sz w:val="24"/>
          <w:szCs w:val="24"/>
        </w:rPr>
        <w:t xml:space="preserve"> entrambi i tipi di strutture con </w:t>
      </w:r>
      <w:r w:rsidR="00282FDA" w:rsidRPr="00A967EB">
        <w:rPr>
          <w:rFonts w:ascii="CIDFont+F1" w:hAnsi="CIDFont+F1" w:cs="CIDFont+F1"/>
          <w:sz w:val="24"/>
          <w:szCs w:val="24"/>
        </w:rPr>
        <w:t>almeno un nuovo caso positivo a SARS-CoV-2 tra i residenti</w:t>
      </w:r>
      <w:r w:rsidR="00282FDA">
        <w:rPr>
          <w:rFonts w:ascii="CIDFont+F1" w:hAnsi="CIDFont+F1" w:cs="CIDFont+F1"/>
          <w:sz w:val="24"/>
          <w:szCs w:val="24"/>
        </w:rPr>
        <w:t>, seguito da una flessione nell’agosto 2022</w:t>
      </w:r>
      <w:r w:rsidRPr="00A967EB">
        <w:rPr>
          <w:rFonts w:ascii="CIDFont+F1" w:hAnsi="CIDFont+F1" w:cs="CIDFont+F1"/>
          <w:sz w:val="24"/>
          <w:szCs w:val="24"/>
        </w:rPr>
        <w:t xml:space="preserve">. </w:t>
      </w:r>
    </w:p>
    <w:p w14:paraId="7D156435" w14:textId="7B734C9C" w:rsidR="00725E10" w:rsidRPr="00A967EB" w:rsidRDefault="00725E10" w:rsidP="00B77772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IDFont+F1" w:hAnsi="CIDFont+F1" w:cs="CIDFont+F1"/>
          <w:sz w:val="24"/>
          <w:szCs w:val="24"/>
        </w:rPr>
      </w:pPr>
      <w:r w:rsidRPr="00A967EB">
        <w:rPr>
          <w:rFonts w:ascii="CIDFont+F1" w:hAnsi="CIDFont+F1" w:cs="CIDFont+F1"/>
          <w:sz w:val="24"/>
          <w:szCs w:val="24"/>
        </w:rPr>
        <w:t xml:space="preserve">Andamento simile </w:t>
      </w:r>
      <w:r w:rsidR="00C20B1B" w:rsidRPr="00A967EB">
        <w:rPr>
          <w:rFonts w:ascii="CIDFont+F1" w:hAnsi="CIDFont+F1" w:cs="CIDFont+F1"/>
          <w:sz w:val="24"/>
          <w:szCs w:val="24"/>
        </w:rPr>
        <w:t xml:space="preserve">si </w:t>
      </w:r>
      <w:r w:rsidR="00B23C1A" w:rsidRPr="00A967EB">
        <w:rPr>
          <w:rFonts w:ascii="CIDFont+F1" w:hAnsi="CIDFont+F1" w:cs="CIDFont+F1"/>
          <w:sz w:val="24"/>
          <w:szCs w:val="24"/>
        </w:rPr>
        <w:t xml:space="preserve">è </w:t>
      </w:r>
      <w:r w:rsidR="00C20B1B" w:rsidRPr="00A967EB">
        <w:rPr>
          <w:rFonts w:ascii="CIDFont+F1" w:hAnsi="CIDFont+F1" w:cs="CIDFont+F1"/>
          <w:sz w:val="24"/>
          <w:szCs w:val="24"/>
        </w:rPr>
        <w:t>riscontra</w:t>
      </w:r>
      <w:r w:rsidR="00B23C1A" w:rsidRPr="00A967EB">
        <w:rPr>
          <w:rFonts w:ascii="CIDFont+F1" w:hAnsi="CIDFont+F1" w:cs="CIDFont+F1"/>
          <w:sz w:val="24"/>
          <w:szCs w:val="24"/>
        </w:rPr>
        <w:t>to</w:t>
      </w:r>
      <w:r w:rsidR="00C20B1B" w:rsidRPr="00A967EB">
        <w:rPr>
          <w:rFonts w:ascii="CIDFont+F1" w:hAnsi="CIDFont+F1" w:cs="CIDFont+F1"/>
          <w:sz w:val="24"/>
          <w:szCs w:val="24"/>
        </w:rPr>
        <w:t xml:space="preserve"> </w:t>
      </w:r>
      <w:r w:rsidR="00B23C1A" w:rsidRPr="00A967EB">
        <w:rPr>
          <w:rFonts w:ascii="CIDFont+F1" w:hAnsi="CIDFont+F1" w:cs="CIDFont+F1"/>
          <w:sz w:val="24"/>
          <w:szCs w:val="24"/>
        </w:rPr>
        <w:t xml:space="preserve">per </w:t>
      </w:r>
      <w:r w:rsidR="00687E2E">
        <w:rPr>
          <w:rFonts w:ascii="CIDFont+F1" w:hAnsi="CIDFont+F1" w:cs="CIDFont+F1"/>
          <w:sz w:val="24"/>
          <w:szCs w:val="24"/>
        </w:rPr>
        <w:t>l’</w:t>
      </w:r>
      <w:r w:rsidR="00B23C1A" w:rsidRPr="00A967EB">
        <w:rPr>
          <w:rFonts w:ascii="CIDFont+F1" w:hAnsi="CIDFont+F1" w:cs="CIDFont+F1"/>
          <w:sz w:val="24"/>
          <w:szCs w:val="24"/>
        </w:rPr>
        <w:t xml:space="preserve">indicatore </w:t>
      </w:r>
      <w:r w:rsidR="00687E2E">
        <w:rPr>
          <w:rFonts w:ascii="CIDFont+F1" w:hAnsi="CIDFont+F1" w:cs="CIDFont+F1"/>
          <w:sz w:val="24"/>
          <w:szCs w:val="24"/>
        </w:rPr>
        <w:t>relativo al</w:t>
      </w:r>
      <w:r w:rsidR="00B23C1A" w:rsidRPr="00A967EB">
        <w:rPr>
          <w:rFonts w:ascii="CIDFont+F1" w:hAnsi="CIDFont+F1" w:cs="CIDFont+F1"/>
          <w:sz w:val="24"/>
          <w:szCs w:val="24"/>
        </w:rPr>
        <w:t>le</w:t>
      </w:r>
      <w:r w:rsidRPr="00A967EB">
        <w:rPr>
          <w:rFonts w:ascii="CIDFont+F1" w:hAnsi="CIDFont+F1" w:cs="CIDFont+F1"/>
          <w:sz w:val="24"/>
          <w:szCs w:val="24"/>
        </w:rPr>
        <w:t xml:space="preserve"> strutture residenziali </w:t>
      </w:r>
      <w:r w:rsidR="00C20B1B" w:rsidRPr="00A967EB">
        <w:rPr>
          <w:rFonts w:ascii="CIDFont+F1" w:hAnsi="CIDFont+F1" w:cs="CIDFont+F1"/>
          <w:sz w:val="24"/>
          <w:szCs w:val="24"/>
        </w:rPr>
        <w:t xml:space="preserve">con </w:t>
      </w:r>
      <w:r w:rsidRPr="00A967EB">
        <w:rPr>
          <w:rFonts w:ascii="CIDFont+F1" w:hAnsi="CIDFont+F1" w:cs="CIDFont+F1"/>
          <w:sz w:val="24"/>
          <w:szCs w:val="24"/>
        </w:rPr>
        <w:t>focolai SARS-CoV-2 (</w:t>
      </w:r>
      <w:r w:rsidRPr="00A967EB">
        <w:rPr>
          <w:sz w:val="24"/>
        </w:rPr>
        <w:t xml:space="preserve">2 o più casi positivi per struttura </w:t>
      </w:r>
      <w:r w:rsidRPr="00A967EB">
        <w:rPr>
          <w:rFonts w:ascii="CIDFont+F1" w:hAnsi="CIDFont+F1" w:cs="CIDFont+F1"/>
          <w:sz w:val="24"/>
          <w:szCs w:val="24"/>
        </w:rPr>
        <w:t>tra i residenti</w:t>
      </w:r>
      <w:r w:rsidR="00B23C1A" w:rsidRPr="00A967EB">
        <w:rPr>
          <w:rFonts w:ascii="CIDFont+F1" w:hAnsi="CIDFont+F1" w:cs="CIDFont+F1"/>
          <w:sz w:val="24"/>
          <w:szCs w:val="24"/>
        </w:rPr>
        <w:t>)</w:t>
      </w:r>
      <w:r w:rsidRPr="00A967EB">
        <w:rPr>
          <w:rFonts w:ascii="CIDFont+F1" w:hAnsi="CIDFont+F1" w:cs="CIDFont+F1"/>
          <w:sz w:val="24"/>
          <w:szCs w:val="24"/>
        </w:rPr>
        <w:t>. Per questo indicatore il picco</w:t>
      </w:r>
      <w:r w:rsidR="00C20B1B" w:rsidRPr="00A967EB">
        <w:rPr>
          <w:rFonts w:ascii="CIDFont+F1" w:hAnsi="CIDFont+F1" w:cs="CIDFont+F1"/>
          <w:sz w:val="24"/>
          <w:szCs w:val="24"/>
        </w:rPr>
        <w:t>,</w:t>
      </w:r>
      <w:r w:rsidRPr="00A967EB">
        <w:rPr>
          <w:rFonts w:ascii="CIDFont+F1" w:hAnsi="CIDFont+F1" w:cs="CIDFont+F1"/>
          <w:sz w:val="24"/>
          <w:szCs w:val="24"/>
        </w:rPr>
        <w:t xml:space="preserve"> raggiunto nel gennaio 2022, si attesta rispettivamente intorno al 22% (strutture per anziani non autosufficienti) e al 15% (tutte le strutture)</w:t>
      </w:r>
      <w:r w:rsidR="00B23C1A" w:rsidRPr="00A967EB">
        <w:rPr>
          <w:rFonts w:ascii="CIDFont+F1" w:hAnsi="CIDFont+F1" w:cs="CIDFont+F1"/>
          <w:sz w:val="24"/>
          <w:szCs w:val="24"/>
        </w:rPr>
        <w:t>, e il picco relativo riferito a fine luglio 2022 è per entrambe le curve intorno al 10%</w:t>
      </w:r>
      <w:r w:rsidRPr="00A967EB">
        <w:rPr>
          <w:rFonts w:ascii="CIDFont+F1" w:hAnsi="CIDFont+F1" w:cs="CIDFont+F1"/>
          <w:sz w:val="24"/>
          <w:szCs w:val="24"/>
        </w:rPr>
        <w:t>.</w:t>
      </w:r>
      <w:r w:rsidR="00282FDA">
        <w:rPr>
          <w:rFonts w:ascii="CIDFont+F1" w:hAnsi="CIDFont+F1" w:cs="CIDFont+F1"/>
          <w:sz w:val="24"/>
          <w:szCs w:val="24"/>
        </w:rPr>
        <w:t xml:space="preserve"> Da agosto 2022 si osserva una flessione di questo indicatore.</w:t>
      </w:r>
    </w:p>
    <w:p w14:paraId="38B22D7B" w14:textId="77777777" w:rsidR="00725E10" w:rsidRPr="00A967EB" w:rsidRDefault="00725E10" w:rsidP="00D105CB">
      <w:pPr>
        <w:autoSpaceDE w:val="0"/>
        <w:autoSpaceDN w:val="0"/>
        <w:adjustRightInd w:val="0"/>
        <w:spacing w:after="0" w:line="240" w:lineRule="auto"/>
        <w:jc w:val="both"/>
        <w:rPr>
          <w:rFonts w:ascii="CIDFont+F1" w:hAnsi="CIDFont+F1" w:cs="CIDFont+F1"/>
          <w:sz w:val="4"/>
          <w:szCs w:val="4"/>
        </w:rPr>
      </w:pPr>
    </w:p>
    <w:p w14:paraId="3E0F8947" w14:textId="5F091DC7" w:rsidR="007E28A4" w:rsidRPr="007E28A4" w:rsidRDefault="00725E10" w:rsidP="007E28A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IDFont+F1" w:hAnsi="CIDFont+F1" w:cs="CIDFont+F1"/>
          <w:sz w:val="24"/>
          <w:szCs w:val="24"/>
        </w:rPr>
      </w:pPr>
      <w:r w:rsidRPr="00A967EB">
        <w:rPr>
          <w:rFonts w:ascii="CIDFont+F1" w:hAnsi="CIDFont+F1" w:cs="CIDFont+F1"/>
          <w:sz w:val="24"/>
          <w:szCs w:val="24"/>
        </w:rPr>
        <w:t xml:space="preserve">L’incidenza </w:t>
      </w:r>
      <w:r w:rsidR="00C20B1B" w:rsidRPr="00A967EB">
        <w:rPr>
          <w:rFonts w:ascii="CIDFont+F1" w:hAnsi="CIDFont+F1" w:cs="CIDFont+F1"/>
          <w:sz w:val="24"/>
          <w:szCs w:val="24"/>
        </w:rPr>
        <w:t xml:space="preserve">settimanale </w:t>
      </w:r>
      <w:r w:rsidRPr="00A967EB">
        <w:rPr>
          <w:rFonts w:ascii="CIDFont+F1" w:hAnsi="CIDFont+F1" w:cs="CIDFont+F1"/>
          <w:sz w:val="24"/>
          <w:szCs w:val="24"/>
        </w:rPr>
        <w:t xml:space="preserve">di casi </w:t>
      </w:r>
      <w:r w:rsidRPr="00A967EB">
        <w:rPr>
          <w:sz w:val="24"/>
          <w:szCs w:val="24"/>
        </w:rPr>
        <w:t xml:space="preserve">SARS-CoV-2 positivi </w:t>
      </w:r>
      <w:r w:rsidRPr="00A967EB">
        <w:rPr>
          <w:rFonts w:ascii="CIDFont+F1" w:hAnsi="CIDFont+F1" w:cs="CIDFont+F1"/>
          <w:sz w:val="24"/>
          <w:szCs w:val="24"/>
        </w:rPr>
        <w:t>tra gli operatori sanitari delle strutture residenziali mostra un andamento simile a quanto osservato nei residenti, raggiungendo</w:t>
      </w:r>
      <w:r w:rsidR="00687E2E">
        <w:rPr>
          <w:rFonts w:ascii="CIDFont+F1" w:hAnsi="CIDFont+F1" w:cs="CIDFont+F1"/>
          <w:sz w:val="24"/>
          <w:szCs w:val="24"/>
        </w:rPr>
        <w:t>,</w:t>
      </w:r>
      <w:r w:rsidRPr="00A967EB">
        <w:rPr>
          <w:rFonts w:ascii="CIDFont+F1" w:hAnsi="CIDFont+F1" w:cs="CIDFont+F1"/>
          <w:sz w:val="24"/>
          <w:szCs w:val="24"/>
        </w:rPr>
        <w:t xml:space="preserve"> ad inizio 2022</w:t>
      </w:r>
      <w:r w:rsidR="00687E2E">
        <w:rPr>
          <w:rFonts w:ascii="CIDFont+F1" w:hAnsi="CIDFont+F1" w:cs="CIDFont+F1"/>
          <w:sz w:val="24"/>
          <w:szCs w:val="24"/>
        </w:rPr>
        <w:t>,</w:t>
      </w:r>
      <w:r w:rsidRPr="00A967EB">
        <w:rPr>
          <w:rFonts w:ascii="CIDFont+F1" w:hAnsi="CIDFont+F1" w:cs="CIDFont+F1"/>
          <w:sz w:val="24"/>
          <w:szCs w:val="24"/>
        </w:rPr>
        <w:t xml:space="preserve"> </w:t>
      </w:r>
      <w:r w:rsidR="00C20B1B" w:rsidRPr="00A967EB">
        <w:rPr>
          <w:rFonts w:ascii="CIDFont+F1" w:hAnsi="CIDFont+F1" w:cs="CIDFont+F1"/>
          <w:sz w:val="24"/>
          <w:szCs w:val="24"/>
        </w:rPr>
        <w:t xml:space="preserve">il </w:t>
      </w:r>
      <w:r w:rsidRPr="00A967EB">
        <w:rPr>
          <w:rFonts w:ascii="CIDFont+F1" w:hAnsi="CIDFont+F1" w:cs="CIDFont+F1"/>
          <w:sz w:val="24"/>
          <w:szCs w:val="24"/>
        </w:rPr>
        <w:t xml:space="preserve">3,5% nelle strutture residenziali per anziani e </w:t>
      </w:r>
      <w:r w:rsidR="00C20B1B" w:rsidRPr="00A967EB">
        <w:rPr>
          <w:rFonts w:ascii="CIDFont+F1" w:hAnsi="CIDFont+F1" w:cs="CIDFont+F1"/>
          <w:sz w:val="24"/>
          <w:szCs w:val="24"/>
        </w:rPr>
        <w:t>i</w:t>
      </w:r>
      <w:r w:rsidRPr="00A967EB">
        <w:rPr>
          <w:rFonts w:ascii="CIDFont+F1" w:hAnsi="CIDFont+F1" w:cs="CIDFont+F1"/>
          <w:sz w:val="24"/>
          <w:szCs w:val="24"/>
        </w:rPr>
        <w:t>l 2,7% in tutte le strutture</w:t>
      </w:r>
      <w:r w:rsidR="00B23C1A" w:rsidRPr="00A967EB">
        <w:rPr>
          <w:rFonts w:ascii="CIDFont+F1" w:hAnsi="CIDFont+F1" w:cs="CIDFont+F1"/>
          <w:sz w:val="24"/>
          <w:szCs w:val="24"/>
        </w:rPr>
        <w:t>, presentando un secondo picco relativo intorno a fine marzo 2022 (2,8 e 2% rispettivamente) e, per entrambe le curve, un ulteriore picco relativo al di sotto dell’1,5% nell’ondata epidemica di luglio 2022</w:t>
      </w:r>
      <w:r w:rsidRPr="00A967EB">
        <w:rPr>
          <w:rFonts w:ascii="CIDFont+F1" w:hAnsi="CIDFont+F1" w:cs="CIDFont+F1"/>
          <w:sz w:val="24"/>
          <w:szCs w:val="24"/>
        </w:rPr>
        <w:t>.</w:t>
      </w:r>
    </w:p>
    <w:p w14:paraId="70C12E06" w14:textId="7752BD82" w:rsidR="007E28A4" w:rsidRPr="007E28A4" w:rsidRDefault="007E28A4" w:rsidP="007E28A4">
      <w:pPr>
        <w:pStyle w:val="Paragrafoelenco"/>
        <w:numPr>
          <w:ilvl w:val="0"/>
          <w:numId w:val="6"/>
        </w:numPr>
        <w:ind w:left="426" w:hanging="349"/>
        <w:rPr>
          <w:rFonts w:ascii="CIDFont+F1" w:hAnsi="CIDFont+F1" w:cs="CIDFont+F1"/>
          <w:sz w:val="24"/>
          <w:szCs w:val="24"/>
        </w:rPr>
      </w:pPr>
      <w:r w:rsidRPr="007E28A4">
        <w:rPr>
          <w:rFonts w:ascii="CIDFont+F1" w:hAnsi="CIDFont+F1" w:cs="CIDFont+F1"/>
          <w:sz w:val="24"/>
          <w:szCs w:val="24"/>
        </w:rPr>
        <w:t xml:space="preserve">Gli andamenti degli isolamenti nelle strutture evidenziano la buona capacità delle stesse di reagire e gestire adeguatamente gli eventi: le curve infatti, sia per le sole procedure di isolamento per COVID-19 sospetto, probabile o confermato, e sia anche inclusive degli isolamenti per contatto stretto o nuovo ingresso in struttura, presentano variazioni e picchi </w:t>
      </w:r>
      <w:r w:rsidRPr="007E28A4">
        <w:rPr>
          <w:rFonts w:ascii="CIDFont+F1" w:hAnsi="CIDFont+F1" w:cs="CIDFont+F1"/>
          <w:sz w:val="24"/>
          <w:szCs w:val="24"/>
        </w:rPr>
        <w:lastRenderedPageBreak/>
        <w:t xml:space="preserve">simultanei in corrispondenza dei picchi dei contagi in struttura (con valori di picco percentuali rispettivamente pari a </w:t>
      </w:r>
      <w:r w:rsidRPr="00A503AA">
        <w:rPr>
          <w:rFonts w:ascii="CIDFont+F1" w:hAnsi="CIDFont+F1" w:cs="CIDFont+F1"/>
          <w:sz w:val="24"/>
          <w:szCs w:val="24"/>
        </w:rPr>
        <w:t>10,3% e 16,1% ad inizio 2022, e pari a 7,7% e 11,3%</w:t>
      </w:r>
      <w:r w:rsidRPr="007E28A4">
        <w:rPr>
          <w:rFonts w:ascii="CIDFont+F1" w:hAnsi="CIDFont+F1" w:cs="CIDFont+F1"/>
          <w:sz w:val="24"/>
          <w:szCs w:val="24"/>
        </w:rPr>
        <w:t xml:space="preserve"> a marzo 2022).</w:t>
      </w:r>
    </w:p>
    <w:p w14:paraId="3A5DF999" w14:textId="77777777" w:rsidR="00725E10" w:rsidRPr="00A967EB" w:rsidRDefault="00725E10" w:rsidP="00D105CB">
      <w:pPr>
        <w:pStyle w:val="Paragrafoelenco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CIDFont+F1" w:hAnsi="CIDFont+F1" w:cs="CIDFont+F1"/>
          <w:sz w:val="4"/>
          <w:szCs w:val="4"/>
        </w:rPr>
      </w:pPr>
    </w:p>
    <w:p w14:paraId="423D27E4" w14:textId="1D0BBD5A" w:rsidR="00725E10" w:rsidRPr="00A967EB" w:rsidRDefault="00725E10" w:rsidP="00A345C3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IDFont+F1" w:hAnsi="CIDFont+F1" w:cs="CIDFont+F1"/>
          <w:sz w:val="24"/>
          <w:szCs w:val="24"/>
        </w:rPr>
      </w:pPr>
      <w:r w:rsidRPr="00A967EB">
        <w:rPr>
          <w:rFonts w:ascii="CIDFont+F1" w:hAnsi="CIDFont+F1" w:cs="CIDFont+F1"/>
          <w:sz w:val="24"/>
          <w:szCs w:val="24"/>
        </w:rPr>
        <w:t>La percentuale di residenti SARS-CoV-2 positivi trasferiti settimanalmente in ospedale</w:t>
      </w:r>
      <w:r w:rsidR="00C20B1B" w:rsidRPr="00A967EB">
        <w:rPr>
          <w:rFonts w:ascii="CIDFont+F1" w:hAnsi="CIDFont+F1" w:cs="CIDFont+F1"/>
          <w:sz w:val="24"/>
          <w:szCs w:val="24"/>
        </w:rPr>
        <w:t>,</w:t>
      </w:r>
      <w:r w:rsidRPr="00A967EB">
        <w:rPr>
          <w:rFonts w:ascii="CIDFont+F1" w:hAnsi="CIDFont+F1" w:cs="CIDFont+F1"/>
          <w:sz w:val="24"/>
          <w:szCs w:val="24"/>
        </w:rPr>
        <w:t xml:space="preserve"> rispetto al totale dei residenti in struttura</w:t>
      </w:r>
      <w:r w:rsidR="00C20B1B" w:rsidRPr="00A967EB">
        <w:rPr>
          <w:rFonts w:ascii="CIDFont+F1" w:hAnsi="CIDFont+F1" w:cs="CIDFont+F1"/>
          <w:sz w:val="24"/>
          <w:szCs w:val="24"/>
        </w:rPr>
        <w:t>,</w:t>
      </w:r>
      <w:r w:rsidRPr="00A967EB">
        <w:rPr>
          <w:rFonts w:ascii="CIDFont+F1" w:hAnsi="CIDFont+F1" w:cs="CIDFont+F1"/>
          <w:sz w:val="24"/>
          <w:szCs w:val="24"/>
        </w:rPr>
        <w:t xml:space="preserve"> mostra invece, rispetto alla curva dei contagi, un minore impatto dell</w:t>
      </w:r>
      <w:r w:rsidR="004546C2" w:rsidRPr="00A967EB">
        <w:rPr>
          <w:rFonts w:ascii="CIDFont+F1" w:hAnsi="CIDFont+F1" w:cs="CIDFont+F1"/>
          <w:sz w:val="24"/>
          <w:szCs w:val="24"/>
        </w:rPr>
        <w:t xml:space="preserve">e ondate epidemiche occorse nel periodo osservato. </w:t>
      </w:r>
      <w:r w:rsidRPr="00A967EB">
        <w:rPr>
          <w:rFonts w:ascii="CIDFont+F1" w:hAnsi="CIDFont+F1" w:cs="CIDFont+F1"/>
          <w:sz w:val="24"/>
          <w:szCs w:val="24"/>
        </w:rPr>
        <w:t xml:space="preserve">Da dicembre 2020, infatti, il grafico mostra un decremento continuo dell’indicatore (seppure con alcune oscillazioni), fino a raggiungere valori inferiori allo 0,01% sia nelle strutture residenziali per anziani che in tutte le strutture residenziali durante il mese di giugno 2021. Questa percentuale aumenta nuovamente </w:t>
      </w:r>
      <w:r w:rsidR="00687E2E">
        <w:rPr>
          <w:rFonts w:ascii="CIDFont+F1" w:hAnsi="CIDFont+F1" w:cs="CIDFont+F1"/>
          <w:sz w:val="24"/>
          <w:szCs w:val="24"/>
        </w:rPr>
        <w:t>nel 2022</w:t>
      </w:r>
      <w:r w:rsidR="005C1FA2">
        <w:rPr>
          <w:rFonts w:ascii="CIDFont+F1" w:hAnsi="CIDFont+F1" w:cs="CIDFont+F1"/>
          <w:sz w:val="24"/>
          <w:szCs w:val="24"/>
        </w:rPr>
        <w:t>,</w:t>
      </w:r>
      <w:r w:rsidR="00687E2E">
        <w:rPr>
          <w:rFonts w:ascii="CIDFont+F1" w:hAnsi="CIDFont+F1" w:cs="CIDFont+F1"/>
          <w:sz w:val="24"/>
          <w:szCs w:val="24"/>
        </w:rPr>
        <w:t xml:space="preserve"> in relazione ai picchi epidemici con un valore massimo dello </w:t>
      </w:r>
      <w:r w:rsidR="00687E2E">
        <w:rPr>
          <w:sz w:val="24"/>
          <w:szCs w:val="24"/>
        </w:rPr>
        <w:t>0,6% nelle strutture residenziali per anziani e dello 0,4% in tutte le strutture residenziali osservato nel marzo 2022</w:t>
      </w:r>
      <w:r w:rsidRPr="00A967EB">
        <w:rPr>
          <w:rFonts w:ascii="CIDFont+F1" w:hAnsi="CIDFont+F1" w:cs="CIDFont+F1"/>
          <w:bCs/>
          <w:sz w:val="24"/>
          <w:szCs w:val="24"/>
        </w:rPr>
        <w:t>.</w:t>
      </w:r>
    </w:p>
    <w:p w14:paraId="3F303058" w14:textId="44C78A3F" w:rsidR="00725E10" w:rsidRPr="00A967EB" w:rsidRDefault="00725E10" w:rsidP="00A345C3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IDFont+F1" w:hAnsi="CIDFont+F1" w:cs="CIDFont+F1"/>
          <w:sz w:val="24"/>
          <w:szCs w:val="24"/>
        </w:rPr>
      </w:pPr>
      <w:r w:rsidRPr="00A967EB">
        <w:rPr>
          <w:rFonts w:ascii="CIDFont+F1" w:hAnsi="CIDFont+F1" w:cs="CIDFont+F1"/>
          <w:sz w:val="24"/>
          <w:szCs w:val="24"/>
        </w:rPr>
        <w:t>I decessi di pazienti SARS-CoV-2 positivi avvenuti nelle strutture residenziali</w:t>
      </w:r>
      <w:r w:rsidR="00C20B1B" w:rsidRPr="00A967EB">
        <w:rPr>
          <w:rFonts w:ascii="CIDFont+F1" w:hAnsi="CIDFont+F1" w:cs="CIDFont+F1"/>
          <w:sz w:val="24"/>
          <w:szCs w:val="24"/>
        </w:rPr>
        <w:t>,</w:t>
      </w:r>
      <w:r w:rsidRPr="00A967EB">
        <w:rPr>
          <w:rFonts w:ascii="CIDFont+F1" w:hAnsi="CIDFont+F1" w:cs="CIDFont+F1"/>
          <w:sz w:val="24"/>
          <w:szCs w:val="24"/>
        </w:rPr>
        <w:t xml:space="preserve"> in rapporto al totale dei residenti</w:t>
      </w:r>
      <w:r w:rsidR="00C20B1B" w:rsidRPr="00A967EB">
        <w:rPr>
          <w:rFonts w:ascii="CIDFont+F1" w:hAnsi="CIDFont+F1" w:cs="CIDFont+F1"/>
          <w:sz w:val="24"/>
          <w:szCs w:val="24"/>
        </w:rPr>
        <w:t>,</w:t>
      </w:r>
      <w:r w:rsidRPr="00A967EB">
        <w:rPr>
          <w:rFonts w:ascii="CIDFont+F1" w:hAnsi="CIDFont+F1" w:cs="CIDFont+F1"/>
          <w:sz w:val="24"/>
          <w:szCs w:val="24"/>
        </w:rPr>
        <w:t xml:space="preserve"> mostrano una sostanziale stabilità nel periodo di osservazione. Questo indicatore mostra infatti, sia per i soli residenti di strutture per anziani non autosufficienti che per i residenti di tutte le strutture, un picco intorno allo 0,4% a gennaio 2021, e un picco intorno allo 0,2% nella prima metà di aprile 2021; dalla metà di aprile 2021 in poi, però, la percentuale di decessi scende a valori molto bassi sui quali si mantiene anche nel corso dell</w:t>
      </w:r>
      <w:r w:rsidR="00150C0F" w:rsidRPr="00A967EB">
        <w:rPr>
          <w:rFonts w:ascii="CIDFont+F1" w:hAnsi="CIDFont+F1" w:cs="CIDFont+F1"/>
          <w:sz w:val="24"/>
          <w:szCs w:val="24"/>
        </w:rPr>
        <w:t xml:space="preserve">e nuove ondate epidemiche, </w:t>
      </w:r>
      <w:r w:rsidRPr="00A967EB">
        <w:rPr>
          <w:rFonts w:ascii="CIDFont+F1" w:hAnsi="CIDFont+F1" w:cs="CIDFont+F1"/>
          <w:sz w:val="24"/>
          <w:szCs w:val="24"/>
        </w:rPr>
        <w:t>pur a fronte di un numero elevato di contagi</w:t>
      </w:r>
      <w:r w:rsidR="00150C0F" w:rsidRPr="00A967EB">
        <w:rPr>
          <w:rFonts w:ascii="CIDFont+F1" w:hAnsi="CIDFont+F1" w:cs="CIDFont+F1"/>
          <w:sz w:val="24"/>
          <w:szCs w:val="24"/>
        </w:rPr>
        <w:t xml:space="preserve"> tra i residenti, restando sempre al di sotto 0,15%</w:t>
      </w:r>
      <w:r w:rsidRPr="00A967EB">
        <w:rPr>
          <w:rFonts w:ascii="CIDFont+F1" w:hAnsi="CIDFont+F1" w:cs="CIDFont+F1"/>
          <w:sz w:val="24"/>
          <w:szCs w:val="24"/>
        </w:rPr>
        <w:t>.</w:t>
      </w:r>
    </w:p>
    <w:p w14:paraId="36BB63A1" w14:textId="4E3E2E00" w:rsidR="00725E10" w:rsidRDefault="00725E10" w:rsidP="007C7422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IDFont+F1" w:hAnsi="CIDFont+F1" w:cs="CIDFont+F1"/>
          <w:sz w:val="24"/>
          <w:szCs w:val="24"/>
        </w:rPr>
      </w:pPr>
      <w:r w:rsidRPr="00A967EB">
        <w:rPr>
          <w:rFonts w:ascii="CIDFont+F1" w:hAnsi="CIDFont+F1" w:cs="CIDFont+F1"/>
          <w:sz w:val="24"/>
          <w:szCs w:val="24"/>
        </w:rPr>
        <w:t>La copertura vaccinale nelle strutture risulta molto alta</w:t>
      </w:r>
      <w:r w:rsidR="00DF171C" w:rsidRPr="00A967EB">
        <w:rPr>
          <w:rFonts w:ascii="CIDFont+F1" w:hAnsi="CIDFont+F1" w:cs="CIDFont+F1"/>
          <w:sz w:val="24"/>
          <w:szCs w:val="24"/>
        </w:rPr>
        <w:t xml:space="preserve"> e raggiunta rapidamente</w:t>
      </w:r>
      <w:r w:rsidRPr="00A967EB">
        <w:rPr>
          <w:rFonts w:ascii="CIDFont+F1" w:hAnsi="CIDFont+F1" w:cs="CIDFont+F1"/>
          <w:sz w:val="24"/>
          <w:szCs w:val="24"/>
        </w:rPr>
        <w:t>: a settembre 2021 aveva ricevuto il ciclo completo di vaccino anti-SARS-CoV-2 il 94% dei residenti nelle strutture residenziali per anziani non autosufficienti ed il 93% dei residenti in tutte le strutture; a metà dicembre 2021, inoltre, l’80% dei residenti aveva ricevuto anche la dose vaccinale booster o addizionale.</w:t>
      </w:r>
      <w:r w:rsidR="00150C0F" w:rsidRPr="00A967EB">
        <w:rPr>
          <w:rFonts w:ascii="CIDFont+F1" w:hAnsi="CIDFont+F1" w:cs="CIDFont+F1"/>
          <w:sz w:val="24"/>
          <w:szCs w:val="24"/>
        </w:rPr>
        <w:t xml:space="preserve"> A fine periodo di osservazione (agosto 2022) la percentuale di residenti vaccinati a ciclo completo è circa del 98% e la percentuale di residenti vaccinati anche con una o più dosi booster è del 93%.</w:t>
      </w:r>
    </w:p>
    <w:p w14:paraId="22FB93C4" w14:textId="3624E883" w:rsidR="00725E10" w:rsidRPr="00DE3CE6" w:rsidRDefault="00725E10" w:rsidP="00F9738E">
      <w:pPr>
        <w:rPr>
          <w:rFonts w:cs="Calibri"/>
          <w:b/>
          <w:color w:val="5B9BD5"/>
          <w:sz w:val="28"/>
          <w:szCs w:val="24"/>
        </w:rPr>
      </w:pPr>
      <w:r>
        <w:rPr>
          <w:rFonts w:cs="Calibri"/>
          <w:b/>
          <w:color w:val="5B9BD5"/>
          <w:sz w:val="28"/>
          <w:szCs w:val="24"/>
        </w:rPr>
        <w:br w:type="page"/>
      </w:r>
      <w:r w:rsidRPr="00DE3CE6">
        <w:rPr>
          <w:rFonts w:cs="Calibri"/>
          <w:b/>
          <w:color w:val="5B9BD5"/>
          <w:sz w:val="28"/>
          <w:szCs w:val="24"/>
        </w:rPr>
        <w:lastRenderedPageBreak/>
        <w:t>Introduzione</w:t>
      </w:r>
    </w:p>
    <w:p w14:paraId="286098A0" w14:textId="77777777" w:rsidR="00725E10" w:rsidRPr="00876680" w:rsidRDefault="00725E10" w:rsidP="00B174B9">
      <w:pPr>
        <w:spacing w:after="0" w:line="240" w:lineRule="auto"/>
        <w:jc w:val="both"/>
        <w:rPr>
          <w:rFonts w:cs="Calibri"/>
          <w:sz w:val="8"/>
          <w:szCs w:val="24"/>
        </w:rPr>
      </w:pPr>
    </w:p>
    <w:p w14:paraId="1CCC0479" w14:textId="7F61AE74" w:rsidR="00725E10" w:rsidRPr="00CE1685" w:rsidRDefault="00725E10" w:rsidP="002E032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E3CE6">
        <w:rPr>
          <w:rFonts w:cs="Calibri"/>
          <w:sz w:val="24"/>
          <w:szCs w:val="24"/>
        </w:rPr>
        <w:t>Le Residenze Sanitarie sono state</w:t>
      </w:r>
      <w:r>
        <w:rPr>
          <w:rFonts w:cs="Calibri"/>
          <w:sz w:val="24"/>
          <w:szCs w:val="24"/>
        </w:rPr>
        <w:t>,</w:t>
      </w:r>
      <w:r w:rsidRPr="00DE3CE6">
        <w:rPr>
          <w:rFonts w:cs="Calibri"/>
          <w:sz w:val="24"/>
          <w:szCs w:val="24"/>
        </w:rPr>
        <w:t xml:space="preserve"> in tutto il mondo</w:t>
      </w:r>
      <w:r>
        <w:rPr>
          <w:rFonts w:cs="Calibri"/>
          <w:sz w:val="24"/>
          <w:szCs w:val="24"/>
        </w:rPr>
        <w:t>,</w:t>
      </w:r>
      <w:r w:rsidRPr="00DE3CE6">
        <w:rPr>
          <w:rFonts w:cs="Calibri"/>
          <w:sz w:val="24"/>
          <w:szCs w:val="24"/>
        </w:rPr>
        <w:t xml:space="preserve"> uno dei contesti maggiormente colpiti </w:t>
      </w:r>
      <w:r>
        <w:rPr>
          <w:rFonts w:cs="Calibri"/>
          <w:sz w:val="24"/>
          <w:szCs w:val="24"/>
        </w:rPr>
        <w:t xml:space="preserve">all’inizio dell’epidemia </w:t>
      </w:r>
      <w:r w:rsidRPr="006100C1">
        <w:rPr>
          <w:rFonts w:cs="Calibri"/>
          <w:sz w:val="24"/>
          <w:szCs w:val="24"/>
        </w:rPr>
        <w:t>COVID-19</w:t>
      </w:r>
      <w:r w:rsidRPr="00DE3CE6">
        <w:rPr>
          <w:rFonts w:cs="Calibri"/>
          <w:sz w:val="24"/>
          <w:szCs w:val="24"/>
        </w:rPr>
        <w:t xml:space="preserve">, a causa della fragilità dei </w:t>
      </w:r>
      <w:r>
        <w:rPr>
          <w:rFonts w:cs="Calibri"/>
          <w:sz w:val="24"/>
          <w:szCs w:val="24"/>
        </w:rPr>
        <w:t xml:space="preserve">loro </w:t>
      </w:r>
      <w:r w:rsidRPr="00DE3CE6">
        <w:rPr>
          <w:rFonts w:cs="Calibri"/>
          <w:sz w:val="24"/>
          <w:szCs w:val="24"/>
        </w:rPr>
        <w:t>residenti</w:t>
      </w:r>
      <w:r>
        <w:rPr>
          <w:rFonts w:cs="Calibri"/>
          <w:sz w:val="24"/>
          <w:szCs w:val="24"/>
        </w:rPr>
        <w:t xml:space="preserve"> e </w:t>
      </w:r>
      <w:r w:rsidRPr="00DE3CE6">
        <w:rPr>
          <w:rFonts w:cs="Calibri"/>
          <w:sz w:val="24"/>
          <w:szCs w:val="24"/>
        </w:rPr>
        <w:t>della particolare organizzazione d</w:t>
      </w:r>
      <w:r w:rsidR="00A136C9">
        <w:rPr>
          <w:rFonts w:cs="Calibri"/>
          <w:sz w:val="24"/>
          <w:szCs w:val="24"/>
        </w:rPr>
        <w:t>elle</w:t>
      </w:r>
      <w:r w:rsidRPr="00DE3CE6">
        <w:rPr>
          <w:rFonts w:cs="Calibri"/>
          <w:sz w:val="24"/>
          <w:szCs w:val="24"/>
        </w:rPr>
        <w:t xml:space="preserve"> strutture</w:t>
      </w:r>
      <w:r w:rsidR="00A136C9">
        <w:rPr>
          <w:rFonts w:cs="Calibri"/>
          <w:sz w:val="24"/>
          <w:szCs w:val="24"/>
        </w:rPr>
        <w:t xml:space="preserve"> stesse</w:t>
      </w:r>
      <w:r>
        <w:rPr>
          <w:rFonts w:cs="Calibri"/>
          <w:sz w:val="24"/>
          <w:szCs w:val="24"/>
        </w:rPr>
        <w:t>, nelle quali</w:t>
      </w:r>
      <w:r w:rsidRPr="00DE3CE6">
        <w:rPr>
          <w:rFonts w:cs="Calibri"/>
          <w:sz w:val="24"/>
          <w:szCs w:val="24"/>
        </w:rPr>
        <w:t xml:space="preserve"> l’aspetto di socializzazione ha un ruolo importante nella vita dei residenti. Per questa ragione, il Piano Strategico Nazionale per la Vaccinazione anti-S</w:t>
      </w:r>
      <w:r>
        <w:rPr>
          <w:rFonts w:cs="Calibri"/>
          <w:sz w:val="24"/>
          <w:szCs w:val="24"/>
        </w:rPr>
        <w:t>ARS</w:t>
      </w:r>
      <w:r w:rsidRPr="00DE3CE6">
        <w:rPr>
          <w:rFonts w:cs="Calibri"/>
          <w:sz w:val="24"/>
          <w:szCs w:val="24"/>
        </w:rPr>
        <w:t>-CoV</w:t>
      </w:r>
      <w:r>
        <w:rPr>
          <w:rFonts w:cs="Calibri"/>
          <w:sz w:val="24"/>
          <w:szCs w:val="24"/>
        </w:rPr>
        <w:t>-</w:t>
      </w:r>
      <w:r w:rsidRPr="00DE3CE6">
        <w:rPr>
          <w:rFonts w:cs="Calibri"/>
          <w:sz w:val="24"/>
          <w:szCs w:val="24"/>
        </w:rPr>
        <w:t xml:space="preserve">2/COVID-19 </w:t>
      </w:r>
      <w:r w:rsidRPr="00860986">
        <w:rPr>
          <w:rFonts w:cs="Calibri"/>
          <w:sz w:val="24"/>
          <w:szCs w:val="24"/>
        </w:rPr>
        <w:t xml:space="preserve">(adottato con Decreto del 12 marzo 2021) </w:t>
      </w:r>
      <w:r w:rsidRPr="00DE3CE6">
        <w:rPr>
          <w:rFonts w:cs="Calibri"/>
          <w:sz w:val="24"/>
          <w:szCs w:val="24"/>
        </w:rPr>
        <w:t>ha stabilito che i residenti</w:t>
      </w:r>
      <w:r>
        <w:rPr>
          <w:rFonts w:cs="Calibri"/>
          <w:sz w:val="24"/>
          <w:szCs w:val="24"/>
        </w:rPr>
        <w:t>,</w:t>
      </w:r>
      <w:r w:rsidRPr="00DE3CE6">
        <w:rPr>
          <w:rFonts w:cs="Calibri"/>
          <w:sz w:val="24"/>
          <w:szCs w:val="24"/>
        </w:rPr>
        <w:t xml:space="preserve"> il personale dei presidi residenziali per anziani e le persone estremamente vulnerabili che spesso sono ospiti di strutture residenziali </w:t>
      </w:r>
      <w:r>
        <w:rPr>
          <w:rFonts w:cs="Calibri"/>
          <w:sz w:val="24"/>
          <w:szCs w:val="24"/>
        </w:rPr>
        <w:t>avessero la</w:t>
      </w:r>
      <w:r w:rsidRPr="00DE3CE6">
        <w:rPr>
          <w:rFonts w:cs="Calibri"/>
          <w:sz w:val="24"/>
          <w:szCs w:val="24"/>
        </w:rPr>
        <w:t xml:space="preserve"> priorità nella campagna di vaccinazione </w:t>
      </w:r>
      <w:r w:rsidRPr="00860986">
        <w:rPr>
          <w:rFonts w:cs="Calibri"/>
          <w:sz w:val="24"/>
          <w:szCs w:val="24"/>
        </w:rPr>
        <w:t>avviata in Italia il 27 dicembre 2020</w:t>
      </w:r>
      <w:r>
        <w:rPr>
          <w:rFonts w:cs="Calibri"/>
          <w:sz w:val="24"/>
          <w:szCs w:val="24"/>
        </w:rPr>
        <w:t xml:space="preserve">. </w:t>
      </w:r>
      <w:r w:rsidRPr="00860986">
        <w:rPr>
          <w:rFonts w:cs="Calibri"/>
          <w:sz w:val="24"/>
          <w:szCs w:val="24"/>
        </w:rPr>
        <w:t xml:space="preserve">In maniera simile, la campagna di somministrazione della dose </w:t>
      </w:r>
      <w:r>
        <w:rPr>
          <w:rFonts w:cs="Calibri"/>
          <w:sz w:val="24"/>
          <w:szCs w:val="24"/>
        </w:rPr>
        <w:t xml:space="preserve">di richiamo ‘booster’ iniziata </w:t>
      </w:r>
      <w:r w:rsidRPr="00860986">
        <w:rPr>
          <w:rFonts w:cs="Calibri"/>
          <w:sz w:val="24"/>
          <w:szCs w:val="24"/>
        </w:rPr>
        <w:t>a partire dal 2</w:t>
      </w:r>
      <w:r>
        <w:rPr>
          <w:rFonts w:cs="Calibri"/>
          <w:sz w:val="24"/>
          <w:szCs w:val="24"/>
        </w:rPr>
        <w:t>7</w:t>
      </w:r>
      <w:r w:rsidRPr="00860986">
        <w:rPr>
          <w:rFonts w:cs="Calibri"/>
          <w:sz w:val="24"/>
          <w:szCs w:val="24"/>
        </w:rPr>
        <w:t xml:space="preserve"> settembre 2021, ha riguardato, in primis, </w:t>
      </w:r>
      <w:r>
        <w:rPr>
          <w:rFonts w:cs="Calibri"/>
          <w:sz w:val="24"/>
          <w:szCs w:val="24"/>
        </w:rPr>
        <w:t xml:space="preserve">il </w:t>
      </w:r>
      <w:r w:rsidRPr="00860986">
        <w:rPr>
          <w:rFonts w:cs="Calibri"/>
          <w:sz w:val="24"/>
          <w:szCs w:val="24"/>
        </w:rPr>
        <w:t xml:space="preserve">personale e </w:t>
      </w:r>
      <w:r>
        <w:rPr>
          <w:rFonts w:cs="Calibri"/>
          <w:sz w:val="24"/>
          <w:szCs w:val="24"/>
        </w:rPr>
        <w:t xml:space="preserve">gli </w:t>
      </w:r>
      <w:r w:rsidRPr="00860986">
        <w:rPr>
          <w:rFonts w:cs="Calibri"/>
          <w:sz w:val="24"/>
          <w:szCs w:val="24"/>
        </w:rPr>
        <w:t xml:space="preserve">ospiti dei presidi residenziali per anziani e le persone con elevata fragilità </w:t>
      </w:r>
      <w:r w:rsidRPr="00DE3CE6">
        <w:rPr>
          <w:rFonts w:cs="Calibri"/>
          <w:sz w:val="24"/>
          <w:szCs w:val="24"/>
        </w:rPr>
        <w:t>(</w:t>
      </w:r>
      <w:r w:rsidRPr="00DE3CE6">
        <w:rPr>
          <w:rStyle w:val="Collegamentoipertestuale"/>
          <w:sz w:val="24"/>
        </w:rPr>
        <w:t>http://www.salute.gov.it/portale/nuovocoronavirus/dettaglioContenutiNuovoCoronavirus.jsp?lingua=italiano&amp;id=5452&amp;area=nuovoCoronavirus&amp;menu=vuoto</w:t>
      </w:r>
      <w:r w:rsidRPr="00DE3CE6">
        <w:rPr>
          <w:rFonts w:cs="Calibri"/>
          <w:sz w:val="24"/>
          <w:szCs w:val="24"/>
        </w:rPr>
        <w:t xml:space="preserve">). </w:t>
      </w:r>
    </w:p>
    <w:p w14:paraId="59D46155" w14:textId="77777777" w:rsidR="00725E10" w:rsidRPr="00DE3CE6" w:rsidRDefault="00725E10" w:rsidP="002E032C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43A6EFBE" w14:textId="77777777" w:rsidR="00725E10" w:rsidRPr="00DE3CE6" w:rsidRDefault="00725E10" w:rsidP="002E032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E3CE6">
        <w:rPr>
          <w:rFonts w:cs="Calibri"/>
          <w:sz w:val="24"/>
          <w:szCs w:val="24"/>
        </w:rPr>
        <w:t>Nel corso della pri</w:t>
      </w:r>
      <w:r>
        <w:rPr>
          <w:rFonts w:cs="Calibri"/>
          <w:sz w:val="24"/>
          <w:szCs w:val="24"/>
        </w:rPr>
        <w:t>ma</w:t>
      </w:r>
      <w:r w:rsidRPr="00DE3CE6">
        <w:rPr>
          <w:rFonts w:cs="Calibri"/>
          <w:sz w:val="24"/>
          <w:szCs w:val="24"/>
        </w:rPr>
        <w:t xml:space="preserve"> ondata epidemica, l’Istituto Superiore di Sanità (ISS)</w:t>
      </w:r>
      <w:r>
        <w:rPr>
          <w:rFonts w:cs="Calibri"/>
          <w:sz w:val="24"/>
          <w:szCs w:val="24"/>
        </w:rPr>
        <w:t>,</w:t>
      </w:r>
      <w:r w:rsidRPr="00DE3CE6">
        <w:rPr>
          <w:rFonts w:cs="Calibri"/>
          <w:sz w:val="24"/>
          <w:szCs w:val="24"/>
        </w:rPr>
        <w:t xml:space="preserve"> in collaborazione con il Garante nazionale dei diritti delle</w:t>
      </w:r>
      <w:r>
        <w:rPr>
          <w:rFonts w:cs="Calibri"/>
          <w:sz w:val="24"/>
          <w:szCs w:val="24"/>
        </w:rPr>
        <w:t xml:space="preserve"> persone private della libertà,</w:t>
      </w:r>
      <w:r w:rsidRPr="00DE3CE6">
        <w:rPr>
          <w:rFonts w:cs="Calibri"/>
          <w:sz w:val="24"/>
          <w:szCs w:val="24"/>
        </w:rPr>
        <w:t xml:space="preserve"> ha svolto una rilevazione </w:t>
      </w:r>
      <w:r>
        <w:rPr>
          <w:rFonts w:cs="Calibri"/>
          <w:sz w:val="24"/>
          <w:szCs w:val="24"/>
        </w:rPr>
        <w:t>con lo scopo di</w:t>
      </w:r>
      <w:r w:rsidRPr="00DE3CE6">
        <w:rPr>
          <w:rFonts w:cs="Calibri"/>
          <w:sz w:val="24"/>
          <w:szCs w:val="24"/>
        </w:rPr>
        <w:t xml:space="preserve"> identificare le criticità e l’estensione del contagio nelle strutture residenziali (</w:t>
      </w:r>
      <w:hyperlink r:id="rId12" w:history="1">
        <w:r w:rsidRPr="00DE3CE6">
          <w:rPr>
            <w:rStyle w:val="Collegamentoipertestuale"/>
            <w:rFonts w:cs="Calibri"/>
            <w:sz w:val="24"/>
            <w:szCs w:val="24"/>
          </w:rPr>
          <w:t>https://www.epicentro.iss.it/coronavirus/sars-cov-2-survey-rsa</w:t>
        </w:r>
      </w:hyperlink>
      <w:r w:rsidRPr="00DE3CE6">
        <w:rPr>
          <w:rFonts w:cs="Calibri"/>
          <w:sz w:val="24"/>
          <w:szCs w:val="24"/>
        </w:rPr>
        <w:t xml:space="preserve">). </w:t>
      </w:r>
      <w:r>
        <w:rPr>
          <w:rFonts w:cs="Calibri"/>
          <w:sz w:val="24"/>
          <w:szCs w:val="24"/>
        </w:rPr>
        <w:t>Sulla base di quanto emerso, l’</w:t>
      </w:r>
      <w:r w:rsidRPr="00DE3CE6">
        <w:rPr>
          <w:rFonts w:cs="Calibri"/>
          <w:sz w:val="24"/>
          <w:szCs w:val="24"/>
        </w:rPr>
        <w:t>ISS</w:t>
      </w:r>
      <w:r>
        <w:rPr>
          <w:rFonts w:cs="Calibri"/>
          <w:sz w:val="24"/>
          <w:szCs w:val="24"/>
        </w:rPr>
        <w:t>,</w:t>
      </w:r>
      <w:r w:rsidRPr="00DE3CE6">
        <w:rPr>
          <w:rFonts w:cs="Calibri"/>
          <w:sz w:val="24"/>
          <w:szCs w:val="24"/>
        </w:rPr>
        <w:t xml:space="preserve"> in collaborazione con il Ministero della Salute, ha ritenuto necessario lo sviluppo di un sistema di sorveglianza specifico </w:t>
      </w:r>
      <w:r>
        <w:rPr>
          <w:rFonts w:cs="Calibri"/>
          <w:sz w:val="24"/>
          <w:szCs w:val="24"/>
        </w:rPr>
        <w:t>per</w:t>
      </w:r>
      <w:r w:rsidRPr="00DE3CE6">
        <w:rPr>
          <w:rFonts w:cs="Calibri"/>
          <w:sz w:val="24"/>
          <w:szCs w:val="24"/>
        </w:rPr>
        <w:t xml:space="preserve"> monitorare la frequenza e l’impatto delle infezioni da </w:t>
      </w:r>
      <w:r>
        <w:rPr>
          <w:rFonts w:cs="Calibri"/>
          <w:sz w:val="24"/>
          <w:szCs w:val="24"/>
        </w:rPr>
        <w:t>SARS-CoV-2</w:t>
      </w:r>
      <w:r w:rsidRPr="00DE3CE6">
        <w:rPr>
          <w:rFonts w:cs="Calibri"/>
          <w:sz w:val="24"/>
          <w:szCs w:val="24"/>
        </w:rPr>
        <w:t xml:space="preserve"> nelle strutture residenziali</w:t>
      </w:r>
      <w:r>
        <w:rPr>
          <w:rFonts w:cs="Calibri"/>
          <w:sz w:val="24"/>
          <w:szCs w:val="24"/>
        </w:rPr>
        <w:t>,</w:t>
      </w:r>
      <w:r w:rsidRPr="00DE3CE6">
        <w:rPr>
          <w:rFonts w:cs="Calibri"/>
          <w:sz w:val="24"/>
          <w:szCs w:val="24"/>
        </w:rPr>
        <w:t xml:space="preserve"> i</w:t>
      </w:r>
      <w:r>
        <w:rPr>
          <w:rFonts w:cs="Calibri"/>
          <w:sz w:val="24"/>
          <w:szCs w:val="24"/>
        </w:rPr>
        <w:t>dentificare</w:t>
      </w:r>
      <w:r w:rsidRPr="00DE3CE6">
        <w:rPr>
          <w:rFonts w:cs="Calibri"/>
          <w:sz w:val="24"/>
          <w:szCs w:val="24"/>
        </w:rPr>
        <w:t xml:space="preserve"> le necessità rilevanti che, in caso di epidemia, richiedano un intervento di sanità pubblica urgente a livello locale/regionale/nazionale</w:t>
      </w:r>
      <w:r>
        <w:rPr>
          <w:rFonts w:cs="Calibri"/>
          <w:sz w:val="24"/>
          <w:szCs w:val="24"/>
        </w:rPr>
        <w:t xml:space="preserve"> e, dall’avvio della campagna vaccinale, monitorare anche la copertura vaccinale e il suo impatto presso le strutture aderenti al sistema di sorveglianza</w:t>
      </w:r>
      <w:r w:rsidRPr="00DE3CE6">
        <w:rPr>
          <w:rFonts w:cs="Calibri"/>
          <w:sz w:val="24"/>
          <w:szCs w:val="24"/>
        </w:rPr>
        <w:t xml:space="preserve">.  </w:t>
      </w:r>
    </w:p>
    <w:p w14:paraId="76481B25" w14:textId="77777777" w:rsidR="00725E10" w:rsidRPr="00DE3CE6" w:rsidRDefault="00725E10" w:rsidP="002E032C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47465373" w14:textId="1BEFAA9A" w:rsidR="00725E10" w:rsidRPr="00DE3CE6" w:rsidRDefault="00725E10" w:rsidP="002E032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E3CE6">
        <w:rPr>
          <w:rFonts w:cs="Calibri"/>
          <w:sz w:val="24"/>
          <w:szCs w:val="24"/>
        </w:rPr>
        <w:t>La Sorveglianza delle strutture residenziali socio-sanitarie nell’emergenza C</w:t>
      </w:r>
      <w:r>
        <w:rPr>
          <w:rFonts w:cs="Calibri"/>
          <w:sz w:val="24"/>
          <w:szCs w:val="24"/>
        </w:rPr>
        <w:t>OVID</w:t>
      </w:r>
      <w:r w:rsidRPr="00DE3CE6">
        <w:rPr>
          <w:rFonts w:cs="Calibri"/>
          <w:sz w:val="24"/>
          <w:szCs w:val="24"/>
        </w:rPr>
        <w:t>-19 coinvolge</w:t>
      </w:r>
      <w:r w:rsidR="00A136C9">
        <w:rPr>
          <w:rFonts w:cs="Calibri"/>
          <w:sz w:val="24"/>
          <w:szCs w:val="24"/>
        </w:rPr>
        <w:t xml:space="preserve"> dunque</w:t>
      </w:r>
      <w:r w:rsidRPr="00DE3CE6">
        <w:rPr>
          <w:rFonts w:cs="Calibri"/>
          <w:sz w:val="24"/>
          <w:szCs w:val="24"/>
        </w:rPr>
        <w:t>:</w:t>
      </w:r>
    </w:p>
    <w:p w14:paraId="6FFC4A1A" w14:textId="77777777" w:rsidR="00725E10" w:rsidRPr="00DE3CE6" w:rsidRDefault="00725E10" w:rsidP="002E032C">
      <w:pPr>
        <w:numPr>
          <w:ilvl w:val="0"/>
          <w:numId w:val="3"/>
        </w:num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 w:rsidRPr="00DE3CE6">
        <w:rPr>
          <w:rFonts w:cs="Calibri"/>
          <w:sz w:val="24"/>
          <w:szCs w:val="24"/>
        </w:rPr>
        <w:t xml:space="preserve">ISS </w:t>
      </w:r>
    </w:p>
    <w:p w14:paraId="3CB3B3CB" w14:textId="28A5C669" w:rsidR="00725E10" w:rsidRPr="00DE3CE6" w:rsidRDefault="00725E10" w:rsidP="002E032C">
      <w:pPr>
        <w:numPr>
          <w:ilvl w:val="0"/>
          <w:numId w:val="3"/>
        </w:num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 w:rsidRPr="00DE3CE6">
        <w:rPr>
          <w:rFonts w:cs="Calibri"/>
          <w:sz w:val="24"/>
          <w:szCs w:val="24"/>
        </w:rPr>
        <w:t>Ministero della Salute</w:t>
      </w:r>
      <w:r w:rsidR="00A136C9">
        <w:rPr>
          <w:rFonts w:cs="Calibri"/>
          <w:sz w:val="24"/>
          <w:szCs w:val="24"/>
        </w:rPr>
        <w:t xml:space="preserve"> (Programma CCM 2020, Capofila Regione Abruzzo)</w:t>
      </w:r>
    </w:p>
    <w:p w14:paraId="55053F66" w14:textId="77777777" w:rsidR="00725E10" w:rsidRPr="00DE3CE6" w:rsidRDefault="00725E10" w:rsidP="002E032C">
      <w:pPr>
        <w:numPr>
          <w:ilvl w:val="0"/>
          <w:numId w:val="3"/>
        </w:num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 w:rsidRPr="00DE3CE6">
        <w:rPr>
          <w:rFonts w:cs="Calibri"/>
          <w:sz w:val="24"/>
          <w:szCs w:val="24"/>
        </w:rPr>
        <w:t>Garante nazionale dei diritti delle</w:t>
      </w:r>
      <w:r>
        <w:rPr>
          <w:rFonts w:cs="Calibri"/>
          <w:sz w:val="24"/>
          <w:szCs w:val="24"/>
        </w:rPr>
        <w:t xml:space="preserve"> persone private della libertà </w:t>
      </w:r>
      <w:r w:rsidRPr="00DE3CE6">
        <w:rPr>
          <w:rFonts w:cs="Calibri"/>
          <w:sz w:val="24"/>
          <w:szCs w:val="24"/>
        </w:rPr>
        <w:t xml:space="preserve"> </w:t>
      </w:r>
    </w:p>
    <w:p w14:paraId="455DFEED" w14:textId="77777777" w:rsidR="00725E10" w:rsidRDefault="00725E10" w:rsidP="002E032C">
      <w:pPr>
        <w:numPr>
          <w:ilvl w:val="0"/>
          <w:numId w:val="3"/>
        </w:num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 w:rsidRPr="00DE3CE6">
        <w:rPr>
          <w:rFonts w:cs="Calibri"/>
          <w:sz w:val="24"/>
          <w:szCs w:val="24"/>
        </w:rPr>
        <w:t xml:space="preserve">Regioni </w:t>
      </w:r>
      <w:r>
        <w:rPr>
          <w:rFonts w:cs="Calibri"/>
          <w:sz w:val="24"/>
          <w:szCs w:val="24"/>
        </w:rPr>
        <w:t>e Province Autonome</w:t>
      </w:r>
    </w:p>
    <w:p w14:paraId="42099FE4" w14:textId="77777777" w:rsidR="00725E10" w:rsidRPr="00DE3CE6" w:rsidRDefault="00725E10" w:rsidP="002E032C">
      <w:pPr>
        <w:spacing w:after="0" w:line="240" w:lineRule="auto"/>
        <w:ind w:left="720"/>
        <w:contextualSpacing/>
        <w:jc w:val="both"/>
        <w:rPr>
          <w:rFonts w:cs="Calibri"/>
          <w:sz w:val="24"/>
          <w:szCs w:val="24"/>
        </w:rPr>
      </w:pPr>
    </w:p>
    <w:p w14:paraId="0647C6D9" w14:textId="77777777" w:rsidR="00725E10" w:rsidRPr="00DE3CE6" w:rsidRDefault="00725E10" w:rsidP="002E032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e </w:t>
      </w:r>
      <w:r w:rsidRPr="00DE3CE6">
        <w:rPr>
          <w:rFonts w:cs="Calibri"/>
          <w:sz w:val="24"/>
          <w:szCs w:val="24"/>
        </w:rPr>
        <w:t xml:space="preserve">ha i seguenti obiettivi: </w:t>
      </w:r>
    </w:p>
    <w:p w14:paraId="0AA41E38" w14:textId="77777777" w:rsidR="00725E10" w:rsidRPr="00DE3CE6" w:rsidRDefault="00725E10" w:rsidP="002E032C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</w:t>
      </w:r>
      <w:r w:rsidRPr="00DE3CE6">
        <w:rPr>
          <w:rFonts w:cs="Calibri"/>
          <w:sz w:val="24"/>
          <w:szCs w:val="24"/>
        </w:rPr>
        <w:t>ensire i casi S</w:t>
      </w:r>
      <w:r>
        <w:rPr>
          <w:rFonts w:cs="Calibri"/>
          <w:sz w:val="24"/>
          <w:szCs w:val="24"/>
        </w:rPr>
        <w:t>ARS</w:t>
      </w:r>
      <w:r w:rsidRPr="00DE3CE6">
        <w:rPr>
          <w:rFonts w:cs="Calibri"/>
          <w:sz w:val="24"/>
          <w:szCs w:val="24"/>
        </w:rPr>
        <w:t>-CoV</w:t>
      </w:r>
      <w:r>
        <w:rPr>
          <w:rFonts w:cs="Calibri"/>
          <w:sz w:val="24"/>
          <w:szCs w:val="24"/>
        </w:rPr>
        <w:t>-</w:t>
      </w:r>
      <w:r w:rsidRPr="00DE3CE6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 xml:space="preserve"> positivi </w:t>
      </w:r>
      <w:r w:rsidRPr="00DE3CE6">
        <w:rPr>
          <w:rFonts w:cs="Calibri"/>
          <w:sz w:val="24"/>
          <w:szCs w:val="24"/>
        </w:rPr>
        <w:t>nelle strutture residenziali</w:t>
      </w:r>
    </w:p>
    <w:p w14:paraId="55280456" w14:textId="77777777" w:rsidR="00725E10" w:rsidRPr="00DE3CE6" w:rsidRDefault="00725E10" w:rsidP="002E032C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</w:t>
      </w:r>
      <w:r w:rsidRPr="00DE3CE6">
        <w:rPr>
          <w:rFonts w:cs="Calibri"/>
          <w:sz w:val="24"/>
          <w:szCs w:val="24"/>
        </w:rPr>
        <w:t xml:space="preserve">onitorare le criticità relative all’emergenza COVID-19 nelle strutture residenziali  </w:t>
      </w:r>
    </w:p>
    <w:p w14:paraId="7B3B47B5" w14:textId="77777777" w:rsidR="00725E10" w:rsidRDefault="00725E10" w:rsidP="002E032C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</w:t>
      </w:r>
      <w:r w:rsidRPr="00DE3CE6">
        <w:rPr>
          <w:rFonts w:cs="Calibri"/>
          <w:sz w:val="24"/>
          <w:szCs w:val="24"/>
        </w:rPr>
        <w:t xml:space="preserve">onitorare la mortalità per tutte le cause nelle strutture residenziali  </w:t>
      </w:r>
    </w:p>
    <w:p w14:paraId="2C3ADD3F" w14:textId="168D31F4" w:rsidR="00725E10" w:rsidRDefault="00725E10" w:rsidP="002E032C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</w:t>
      </w:r>
      <w:r w:rsidRPr="00DE3CE6">
        <w:rPr>
          <w:rFonts w:cs="Calibri"/>
          <w:sz w:val="24"/>
          <w:szCs w:val="24"/>
        </w:rPr>
        <w:t>egnalare tempestivamente le necessità rilevanti (</w:t>
      </w:r>
      <w:r>
        <w:rPr>
          <w:rFonts w:cs="Calibri"/>
          <w:sz w:val="24"/>
          <w:szCs w:val="24"/>
        </w:rPr>
        <w:t>ad es.,</w:t>
      </w:r>
      <w:r w:rsidRPr="00DE3CE6">
        <w:rPr>
          <w:rFonts w:cs="Calibri"/>
          <w:sz w:val="24"/>
          <w:szCs w:val="24"/>
        </w:rPr>
        <w:t xml:space="preserve"> personale sanitario di supporto, </w:t>
      </w:r>
      <w:r>
        <w:rPr>
          <w:rFonts w:cs="Calibri"/>
          <w:sz w:val="24"/>
          <w:szCs w:val="24"/>
        </w:rPr>
        <w:t>dispositivi di protezione individuale – DPI,</w:t>
      </w:r>
      <w:r w:rsidRPr="00DE3CE6">
        <w:rPr>
          <w:rFonts w:cs="Calibri"/>
          <w:sz w:val="24"/>
          <w:szCs w:val="24"/>
        </w:rPr>
        <w:t xml:space="preserve"> spazio aggiuntivo per </w:t>
      </w:r>
      <w:r>
        <w:rPr>
          <w:rFonts w:cs="Calibri"/>
          <w:sz w:val="24"/>
          <w:szCs w:val="24"/>
        </w:rPr>
        <w:t>l’</w:t>
      </w:r>
      <w:r w:rsidRPr="00DE3CE6">
        <w:rPr>
          <w:rFonts w:cs="Calibri"/>
          <w:sz w:val="24"/>
          <w:szCs w:val="24"/>
        </w:rPr>
        <w:t>isolamento</w:t>
      </w:r>
      <w:r>
        <w:rPr>
          <w:rFonts w:cs="Calibri"/>
          <w:sz w:val="24"/>
          <w:szCs w:val="24"/>
        </w:rPr>
        <w:t xml:space="preserve"> dei casi</w:t>
      </w:r>
      <w:r w:rsidRPr="00DE3CE6">
        <w:rPr>
          <w:rFonts w:cs="Calibri"/>
          <w:sz w:val="24"/>
          <w:szCs w:val="24"/>
        </w:rPr>
        <w:t xml:space="preserve">) in caso di </w:t>
      </w:r>
      <w:r w:rsidRPr="002A2C39">
        <w:rPr>
          <w:rFonts w:cs="Calibri"/>
          <w:sz w:val="24"/>
          <w:szCs w:val="24"/>
        </w:rPr>
        <w:t>epidemia</w:t>
      </w:r>
      <w:r w:rsidRPr="00DE3CE6">
        <w:rPr>
          <w:rFonts w:cs="Calibri"/>
          <w:sz w:val="24"/>
          <w:szCs w:val="24"/>
        </w:rPr>
        <w:t xml:space="preserve"> C</w:t>
      </w:r>
      <w:r>
        <w:rPr>
          <w:rFonts w:cs="Calibri"/>
          <w:sz w:val="24"/>
          <w:szCs w:val="24"/>
        </w:rPr>
        <w:t>OVID</w:t>
      </w:r>
      <w:r w:rsidRPr="00DE3CE6">
        <w:rPr>
          <w:rFonts w:cs="Calibri"/>
          <w:sz w:val="24"/>
          <w:szCs w:val="24"/>
        </w:rPr>
        <w:t xml:space="preserve">-19. </w:t>
      </w:r>
    </w:p>
    <w:p w14:paraId="69468257" w14:textId="77777777" w:rsidR="00725E10" w:rsidRPr="00DE3CE6" w:rsidRDefault="00725E10" w:rsidP="002E032C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Monitorare la copertura vaccinale dei residenti</w:t>
      </w:r>
    </w:p>
    <w:p w14:paraId="5103363F" w14:textId="77777777" w:rsidR="00725E10" w:rsidRPr="00DE3CE6" w:rsidRDefault="00725E10" w:rsidP="002E032C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051CBF32" w14:textId="18B9CFA8" w:rsidR="00725E10" w:rsidRPr="00DE3CE6" w:rsidRDefault="00725E10" w:rsidP="002E032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3C5770">
        <w:rPr>
          <w:rFonts w:cs="Calibri"/>
          <w:sz w:val="24"/>
          <w:szCs w:val="24"/>
        </w:rPr>
        <w:t xml:space="preserve">Le strutture residenziali coinvolte nella sorveglianza sono le seguenti: </w:t>
      </w:r>
    </w:p>
    <w:p w14:paraId="3ADF91F2" w14:textId="77777777" w:rsidR="00725E10" w:rsidRPr="00DE3CE6" w:rsidRDefault="00725E10" w:rsidP="002E032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</w:t>
      </w:r>
      <w:r w:rsidRPr="00DE3CE6">
        <w:rPr>
          <w:rFonts w:cs="Calibri"/>
          <w:sz w:val="24"/>
          <w:szCs w:val="24"/>
        </w:rPr>
        <w:t xml:space="preserve">trutture residenziali per anziani non autosufficienti </w:t>
      </w:r>
    </w:p>
    <w:p w14:paraId="2DEEC4E7" w14:textId="77777777" w:rsidR="00725E10" w:rsidRPr="00DE3CE6" w:rsidRDefault="00725E10" w:rsidP="002E032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</w:t>
      </w:r>
      <w:r w:rsidRPr="00DE3CE6">
        <w:rPr>
          <w:rFonts w:cs="Calibri"/>
          <w:sz w:val="24"/>
          <w:szCs w:val="24"/>
        </w:rPr>
        <w:t xml:space="preserve">trutture residenziali per persone disabili giovani e adulte  </w:t>
      </w:r>
    </w:p>
    <w:p w14:paraId="3C048DDC" w14:textId="77777777" w:rsidR="00725E10" w:rsidRPr="00DE3CE6" w:rsidRDefault="00725E10" w:rsidP="002E032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</w:t>
      </w:r>
      <w:r w:rsidRPr="00DE3CE6">
        <w:rPr>
          <w:rFonts w:cs="Calibri"/>
          <w:sz w:val="24"/>
          <w:szCs w:val="24"/>
        </w:rPr>
        <w:t xml:space="preserve">trutture residenziali per persone con patologie psichiatriche  </w:t>
      </w:r>
    </w:p>
    <w:p w14:paraId="15C316C1" w14:textId="2B73E484" w:rsidR="00725E10" w:rsidRDefault="00725E10" w:rsidP="002E032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</w:t>
      </w:r>
      <w:r w:rsidRPr="00DE3CE6">
        <w:rPr>
          <w:rFonts w:cs="Calibri"/>
          <w:sz w:val="24"/>
          <w:szCs w:val="24"/>
        </w:rPr>
        <w:t>trutture residenziali ex art. 26 Legge n.833/78</w:t>
      </w:r>
      <w:r>
        <w:rPr>
          <w:rFonts w:cs="Calibri"/>
          <w:sz w:val="24"/>
          <w:szCs w:val="24"/>
        </w:rPr>
        <w:t xml:space="preserve"> e socio-assistenziali.</w:t>
      </w:r>
      <w:r w:rsidRPr="00DE3CE6">
        <w:rPr>
          <w:rFonts w:cs="Calibri"/>
          <w:sz w:val="24"/>
          <w:szCs w:val="24"/>
        </w:rPr>
        <w:t xml:space="preserve"> </w:t>
      </w:r>
    </w:p>
    <w:p w14:paraId="18126DC7" w14:textId="3DCDFA42" w:rsidR="00A136C9" w:rsidRPr="00DE3CE6" w:rsidRDefault="00A136C9" w:rsidP="002E032C">
      <w:pPr>
        <w:spacing w:after="0" w:line="240" w:lineRule="auto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Sebbene al 31 marzo 2022 sia stata dichiarata la fine dell’emergenza COVID-19 (DECRETO</w:t>
      </w:r>
      <w:r w:rsidR="00CE02B6">
        <w:rPr>
          <w:rFonts w:cs="Calibri"/>
          <w:sz w:val="24"/>
          <w:szCs w:val="24"/>
        </w:rPr>
        <w:t xml:space="preserve"> LEGGE n.24 del 24/03/2022 </w:t>
      </w:r>
      <w:proofErr w:type="spellStart"/>
      <w:r w:rsidR="00CE02B6">
        <w:rPr>
          <w:rFonts w:cs="Calibri"/>
          <w:sz w:val="24"/>
          <w:szCs w:val="24"/>
        </w:rPr>
        <w:t>rif</w:t>
      </w:r>
      <w:r w:rsidR="002E032C">
        <w:rPr>
          <w:rFonts w:cs="Calibri"/>
          <w:sz w:val="24"/>
          <w:szCs w:val="24"/>
        </w:rPr>
        <w:t>.</w:t>
      </w:r>
      <w:proofErr w:type="spellEnd"/>
      <w:r w:rsidR="00CE02B6">
        <w:rPr>
          <w:rFonts w:cs="Calibri"/>
          <w:sz w:val="24"/>
          <w:szCs w:val="24"/>
        </w:rPr>
        <w:t xml:space="preserve"> </w:t>
      </w:r>
      <w:r w:rsidR="00CE02B6" w:rsidRPr="00CE02B6">
        <w:rPr>
          <w:rFonts w:cs="Calibri"/>
          <w:sz w:val="24"/>
          <w:szCs w:val="24"/>
        </w:rPr>
        <w:t>GU Serie Generale n.70 del 24-03-2022</w:t>
      </w:r>
      <w:r>
        <w:rPr>
          <w:rFonts w:cs="Calibri"/>
          <w:sz w:val="24"/>
          <w:szCs w:val="24"/>
        </w:rPr>
        <w:t>)</w:t>
      </w:r>
      <w:r w:rsidR="00CE02B6">
        <w:rPr>
          <w:rFonts w:cs="Calibri"/>
          <w:sz w:val="24"/>
          <w:szCs w:val="24"/>
        </w:rPr>
        <w:t>, e vista la persistenza del virus e degli effetti da contagio sia a livello nazionale che mondiale, il sistema di Sorveglianza viene mantenuto attivo</w:t>
      </w:r>
      <w:r w:rsidR="003D0221">
        <w:rPr>
          <w:rFonts w:cs="Calibri"/>
          <w:sz w:val="24"/>
          <w:szCs w:val="24"/>
        </w:rPr>
        <w:t>, sulla base delle indicazioni del Decreto medesimo (art. 13)</w:t>
      </w:r>
      <w:r w:rsidR="00CE02B6">
        <w:rPr>
          <w:rFonts w:cs="Calibri"/>
          <w:sz w:val="24"/>
          <w:szCs w:val="24"/>
        </w:rPr>
        <w:t>.</w:t>
      </w:r>
    </w:p>
    <w:p w14:paraId="784C97D1" w14:textId="77777777" w:rsidR="00725E10" w:rsidRPr="00DE3CE6" w:rsidRDefault="00725E10" w:rsidP="00B174B9">
      <w:pPr>
        <w:jc w:val="both"/>
        <w:rPr>
          <w:rFonts w:cs="Calibri"/>
          <w:sz w:val="28"/>
          <w:szCs w:val="24"/>
        </w:rPr>
      </w:pPr>
      <w:r w:rsidRPr="00DE3CE6">
        <w:rPr>
          <w:rFonts w:cs="Calibri"/>
          <w:b/>
          <w:color w:val="5B9BD5"/>
          <w:sz w:val="28"/>
          <w:szCs w:val="24"/>
        </w:rPr>
        <w:br w:type="page"/>
      </w:r>
      <w:r w:rsidRPr="00DE3CE6">
        <w:rPr>
          <w:rFonts w:cs="Calibri"/>
          <w:b/>
          <w:color w:val="5B9BD5"/>
          <w:sz w:val="28"/>
          <w:szCs w:val="24"/>
        </w:rPr>
        <w:lastRenderedPageBreak/>
        <w:t>Scopo del Rapporto</w:t>
      </w:r>
    </w:p>
    <w:p w14:paraId="2D69257D" w14:textId="03F69F6C" w:rsidR="00725E10" w:rsidRPr="00924F95" w:rsidRDefault="00725E10" w:rsidP="00924F95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E3CE6">
        <w:rPr>
          <w:rFonts w:cs="Calibri"/>
          <w:sz w:val="24"/>
          <w:szCs w:val="24"/>
        </w:rPr>
        <w:t xml:space="preserve">Scopo di questo rapporto è presentare i dati sulle variazioni settimanali </w:t>
      </w:r>
      <w:r>
        <w:rPr>
          <w:rFonts w:cs="Calibri"/>
          <w:sz w:val="24"/>
          <w:szCs w:val="24"/>
        </w:rPr>
        <w:t>osservate dal 2</w:t>
      </w:r>
      <w:r w:rsidR="001A4684">
        <w:rPr>
          <w:rFonts w:cs="Calibri"/>
          <w:sz w:val="24"/>
          <w:szCs w:val="24"/>
        </w:rPr>
        <w:t>1</w:t>
      </w:r>
      <w:r>
        <w:rPr>
          <w:rFonts w:cs="Calibri"/>
          <w:sz w:val="24"/>
          <w:szCs w:val="24"/>
        </w:rPr>
        <w:t xml:space="preserve"> dicembre 2020 (inizio della campagna vaccinale sul territorio nazionale, avviata il 27 dicembre 2020) al </w:t>
      </w:r>
      <w:r w:rsidR="008D2110">
        <w:rPr>
          <w:rFonts w:cs="Calibri"/>
          <w:sz w:val="24"/>
          <w:szCs w:val="24"/>
        </w:rPr>
        <w:t>18 settembre</w:t>
      </w:r>
      <w:r>
        <w:rPr>
          <w:rFonts w:cs="Calibri"/>
          <w:sz w:val="24"/>
          <w:szCs w:val="24"/>
        </w:rPr>
        <w:t xml:space="preserve"> 2022</w:t>
      </w:r>
      <w:r w:rsidRPr="00033DC7">
        <w:rPr>
          <w:rFonts w:cs="Calibri"/>
          <w:color w:val="FF0000"/>
          <w:sz w:val="24"/>
          <w:szCs w:val="24"/>
        </w:rPr>
        <w:t xml:space="preserve"> </w:t>
      </w:r>
      <w:r w:rsidRPr="003F6205">
        <w:rPr>
          <w:rFonts w:cs="Calibri"/>
          <w:sz w:val="24"/>
          <w:szCs w:val="24"/>
        </w:rPr>
        <w:t>nelle strutture residenziali che hanno partecipato alla Sorveglianza</w:t>
      </w:r>
      <w:r>
        <w:rPr>
          <w:rFonts w:cs="Calibri"/>
          <w:sz w:val="24"/>
          <w:szCs w:val="24"/>
        </w:rPr>
        <w:t>. I dati riportati riguardano</w:t>
      </w:r>
      <w:r w:rsidRPr="003F6205">
        <w:rPr>
          <w:rFonts w:cs="Calibri"/>
          <w:sz w:val="24"/>
          <w:szCs w:val="24"/>
        </w:rPr>
        <w:t>:</w:t>
      </w:r>
      <w:r w:rsidRPr="00924F95">
        <w:rPr>
          <w:rFonts w:cs="Calibri"/>
          <w:sz w:val="24"/>
          <w:szCs w:val="24"/>
        </w:rPr>
        <w:t xml:space="preserve"> </w:t>
      </w:r>
    </w:p>
    <w:p w14:paraId="35CFE9ED" w14:textId="77777777" w:rsidR="00725E10" w:rsidRPr="00B174B9" w:rsidRDefault="00725E10" w:rsidP="00B174B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B174B9">
        <w:rPr>
          <w:rFonts w:cs="Calibri"/>
          <w:sz w:val="24"/>
          <w:szCs w:val="24"/>
        </w:rPr>
        <w:t>tamponi eseguiti nei residenti</w:t>
      </w:r>
    </w:p>
    <w:p w14:paraId="044E07D0" w14:textId="77777777" w:rsidR="00725E10" w:rsidRDefault="00725E10" w:rsidP="00B174B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B174B9">
        <w:rPr>
          <w:rFonts w:cs="Calibri"/>
          <w:sz w:val="24"/>
          <w:szCs w:val="24"/>
        </w:rPr>
        <w:t xml:space="preserve">nuovi casi </w:t>
      </w:r>
      <w:r w:rsidRPr="00DE3CE6">
        <w:rPr>
          <w:rFonts w:cs="Calibri"/>
          <w:sz w:val="24"/>
          <w:szCs w:val="24"/>
        </w:rPr>
        <w:t>S</w:t>
      </w:r>
      <w:r>
        <w:rPr>
          <w:rFonts w:cs="Calibri"/>
          <w:sz w:val="24"/>
          <w:szCs w:val="24"/>
        </w:rPr>
        <w:t>ARS</w:t>
      </w:r>
      <w:r w:rsidRPr="00DE3CE6">
        <w:rPr>
          <w:rFonts w:cs="Calibri"/>
          <w:sz w:val="24"/>
          <w:szCs w:val="24"/>
        </w:rPr>
        <w:t>-CoV</w:t>
      </w:r>
      <w:r>
        <w:rPr>
          <w:rFonts w:cs="Calibri"/>
          <w:sz w:val="24"/>
          <w:szCs w:val="24"/>
        </w:rPr>
        <w:t>-</w:t>
      </w:r>
      <w:r w:rsidRPr="00DE3CE6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 xml:space="preserve"> positivi </w:t>
      </w:r>
      <w:r w:rsidRPr="00B174B9">
        <w:rPr>
          <w:rFonts w:cs="Calibri"/>
          <w:sz w:val="24"/>
          <w:szCs w:val="24"/>
        </w:rPr>
        <w:t>nei residenti</w:t>
      </w:r>
    </w:p>
    <w:p w14:paraId="408E5A74" w14:textId="5DBC235F" w:rsidR="00725E10" w:rsidRPr="00B174B9" w:rsidRDefault="00725E10" w:rsidP="00B174B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focolai </w:t>
      </w:r>
      <w:r w:rsidR="00790A56" w:rsidRPr="00DE3CE6">
        <w:rPr>
          <w:rFonts w:cs="Calibri"/>
          <w:sz w:val="24"/>
          <w:szCs w:val="24"/>
        </w:rPr>
        <w:t>S</w:t>
      </w:r>
      <w:r w:rsidR="00790A56">
        <w:rPr>
          <w:rFonts w:cs="Calibri"/>
          <w:sz w:val="24"/>
          <w:szCs w:val="24"/>
        </w:rPr>
        <w:t>ARS</w:t>
      </w:r>
      <w:r w:rsidR="00790A56" w:rsidRPr="00DE3CE6">
        <w:rPr>
          <w:rFonts w:cs="Calibri"/>
          <w:sz w:val="24"/>
          <w:szCs w:val="24"/>
        </w:rPr>
        <w:t>-CoV</w:t>
      </w:r>
      <w:r w:rsidR="00790A56">
        <w:rPr>
          <w:rFonts w:cs="Calibri"/>
          <w:sz w:val="24"/>
          <w:szCs w:val="24"/>
        </w:rPr>
        <w:t>-</w:t>
      </w:r>
      <w:r w:rsidR="00790A56" w:rsidRPr="00DE3CE6">
        <w:rPr>
          <w:rFonts w:cs="Calibri"/>
          <w:sz w:val="24"/>
          <w:szCs w:val="24"/>
        </w:rPr>
        <w:t>2</w:t>
      </w:r>
      <w:r w:rsidR="00790A56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in strutture residenziali</w:t>
      </w:r>
    </w:p>
    <w:p w14:paraId="3030EE35" w14:textId="77777777" w:rsidR="00725E10" w:rsidRPr="00B174B9" w:rsidRDefault="00725E10" w:rsidP="00B174B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B174B9">
        <w:rPr>
          <w:rFonts w:cs="Calibri"/>
          <w:sz w:val="24"/>
          <w:szCs w:val="24"/>
        </w:rPr>
        <w:t xml:space="preserve">nuovi casi </w:t>
      </w:r>
      <w:r w:rsidRPr="00DE3CE6">
        <w:rPr>
          <w:rFonts w:cs="Calibri"/>
          <w:sz w:val="24"/>
          <w:szCs w:val="24"/>
        </w:rPr>
        <w:t>S</w:t>
      </w:r>
      <w:r>
        <w:rPr>
          <w:rFonts w:cs="Calibri"/>
          <w:sz w:val="24"/>
          <w:szCs w:val="24"/>
        </w:rPr>
        <w:t>ARS</w:t>
      </w:r>
      <w:r w:rsidRPr="00DE3CE6">
        <w:rPr>
          <w:rFonts w:cs="Calibri"/>
          <w:sz w:val="24"/>
          <w:szCs w:val="24"/>
        </w:rPr>
        <w:t>-CoV</w:t>
      </w:r>
      <w:r>
        <w:rPr>
          <w:rFonts w:cs="Calibri"/>
          <w:sz w:val="24"/>
          <w:szCs w:val="24"/>
        </w:rPr>
        <w:t>-</w:t>
      </w:r>
      <w:r w:rsidRPr="00DE3CE6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 xml:space="preserve"> positivi </w:t>
      </w:r>
      <w:r w:rsidRPr="00B174B9">
        <w:rPr>
          <w:rFonts w:cs="Calibri"/>
          <w:sz w:val="24"/>
          <w:szCs w:val="24"/>
        </w:rPr>
        <w:t>nel personale delle strutture</w:t>
      </w:r>
    </w:p>
    <w:p w14:paraId="602F2777" w14:textId="15A5EDCC" w:rsidR="00725E10" w:rsidRPr="00182C65" w:rsidRDefault="00725E10" w:rsidP="00B174B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182C65">
        <w:rPr>
          <w:rFonts w:cs="Calibri"/>
          <w:sz w:val="24"/>
          <w:szCs w:val="24"/>
        </w:rPr>
        <w:t xml:space="preserve">residenti vaccinati con ciclo completo per </w:t>
      </w:r>
      <w:r w:rsidR="00790A56" w:rsidRPr="00DE3CE6">
        <w:rPr>
          <w:rFonts w:cs="Calibri"/>
          <w:sz w:val="24"/>
          <w:szCs w:val="24"/>
        </w:rPr>
        <w:t>S</w:t>
      </w:r>
      <w:r w:rsidR="00790A56">
        <w:rPr>
          <w:rFonts w:cs="Calibri"/>
          <w:sz w:val="24"/>
          <w:szCs w:val="24"/>
        </w:rPr>
        <w:t>ARS</w:t>
      </w:r>
      <w:r w:rsidR="00790A56" w:rsidRPr="00DE3CE6">
        <w:rPr>
          <w:rFonts w:cs="Calibri"/>
          <w:sz w:val="24"/>
          <w:szCs w:val="24"/>
        </w:rPr>
        <w:t>-CoV</w:t>
      </w:r>
      <w:r w:rsidR="00790A56">
        <w:rPr>
          <w:rFonts w:cs="Calibri"/>
          <w:sz w:val="24"/>
          <w:szCs w:val="24"/>
        </w:rPr>
        <w:t>-</w:t>
      </w:r>
      <w:r w:rsidR="00790A56" w:rsidRPr="00DE3CE6">
        <w:rPr>
          <w:rFonts w:cs="Calibri"/>
          <w:sz w:val="24"/>
          <w:szCs w:val="24"/>
        </w:rPr>
        <w:t>2</w:t>
      </w:r>
      <w:r w:rsidR="00790A56">
        <w:rPr>
          <w:rFonts w:cs="Calibri"/>
          <w:sz w:val="24"/>
          <w:szCs w:val="24"/>
        </w:rPr>
        <w:t xml:space="preserve"> </w:t>
      </w:r>
      <w:r w:rsidRPr="00182C65">
        <w:rPr>
          <w:rFonts w:cs="Calibri"/>
          <w:sz w:val="24"/>
          <w:szCs w:val="24"/>
        </w:rPr>
        <w:t xml:space="preserve">e, da quando disponibile (settembre 2021), anche con dose </w:t>
      </w:r>
      <w:r>
        <w:rPr>
          <w:rFonts w:cs="Calibri"/>
          <w:sz w:val="24"/>
          <w:szCs w:val="24"/>
        </w:rPr>
        <w:t xml:space="preserve">di richiamo </w:t>
      </w:r>
      <w:r w:rsidRPr="00182C65">
        <w:rPr>
          <w:rFonts w:cs="Calibri"/>
          <w:sz w:val="24"/>
          <w:szCs w:val="24"/>
        </w:rPr>
        <w:t xml:space="preserve">booster </w:t>
      </w:r>
    </w:p>
    <w:p w14:paraId="0C09F3A0" w14:textId="3ADD5532" w:rsidR="00725E10" w:rsidRPr="00DE3CE6" w:rsidRDefault="00725E10" w:rsidP="00B174B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3F6205">
        <w:rPr>
          <w:rFonts w:cs="Calibri"/>
          <w:sz w:val="24"/>
          <w:szCs w:val="24"/>
        </w:rPr>
        <w:t xml:space="preserve">residenti in isolamento o quarantena per </w:t>
      </w:r>
      <w:r w:rsidR="00790A56" w:rsidRPr="00DE3CE6">
        <w:rPr>
          <w:rFonts w:cs="Calibri"/>
          <w:sz w:val="24"/>
          <w:szCs w:val="24"/>
        </w:rPr>
        <w:t>S</w:t>
      </w:r>
      <w:r w:rsidR="00790A56">
        <w:rPr>
          <w:rFonts w:cs="Calibri"/>
          <w:sz w:val="24"/>
          <w:szCs w:val="24"/>
        </w:rPr>
        <w:t>ARS</w:t>
      </w:r>
      <w:r w:rsidR="00790A56" w:rsidRPr="00DE3CE6">
        <w:rPr>
          <w:rFonts w:cs="Calibri"/>
          <w:sz w:val="24"/>
          <w:szCs w:val="24"/>
        </w:rPr>
        <w:t>-CoV</w:t>
      </w:r>
      <w:r w:rsidR="00790A56">
        <w:rPr>
          <w:rFonts w:cs="Calibri"/>
          <w:sz w:val="24"/>
          <w:szCs w:val="24"/>
        </w:rPr>
        <w:t>-</w:t>
      </w:r>
      <w:r w:rsidR="00790A56" w:rsidRPr="00DE3CE6">
        <w:rPr>
          <w:rFonts w:cs="Calibri"/>
          <w:sz w:val="24"/>
          <w:szCs w:val="24"/>
        </w:rPr>
        <w:t>2</w:t>
      </w:r>
      <w:r w:rsidR="00790A56">
        <w:rPr>
          <w:rFonts w:cs="Calibri"/>
          <w:sz w:val="24"/>
          <w:szCs w:val="24"/>
        </w:rPr>
        <w:t xml:space="preserve"> </w:t>
      </w:r>
    </w:p>
    <w:p w14:paraId="74D3EA1C" w14:textId="77777777" w:rsidR="00725E10" w:rsidRPr="00DE3CE6" w:rsidRDefault="00725E10" w:rsidP="00B174B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</w:t>
      </w:r>
      <w:r w:rsidRPr="00DE3CE6">
        <w:rPr>
          <w:rFonts w:cs="Calibri"/>
          <w:sz w:val="24"/>
          <w:szCs w:val="24"/>
        </w:rPr>
        <w:t>spedalizzazioni nei residenti</w:t>
      </w:r>
    </w:p>
    <w:p w14:paraId="00C91BBA" w14:textId="77777777" w:rsidR="00725E10" w:rsidRPr="00DE3CE6" w:rsidRDefault="00725E10" w:rsidP="00B174B9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</w:t>
      </w:r>
      <w:r w:rsidRPr="00DE3CE6">
        <w:rPr>
          <w:rFonts w:cs="Calibri"/>
          <w:sz w:val="24"/>
          <w:szCs w:val="24"/>
        </w:rPr>
        <w:t>ortalità nei residenti</w:t>
      </w:r>
      <w:r>
        <w:rPr>
          <w:rFonts w:cs="Calibri"/>
          <w:sz w:val="24"/>
          <w:szCs w:val="24"/>
        </w:rPr>
        <w:t>.</w:t>
      </w:r>
    </w:p>
    <w:p w14:paraId="3E39633F" w14:textId="77777777" w:rsidR="00725E10" w:rsidRPr="00DE3CE6" w:rsidRDefault="00725E10" w:rsidP="00B174B9">
      <w:pPr>
        <w:spacing w:after="0" w:line="240" w:lineRule="auto"/>
        <w:jc w:val="both"/>
        <w:rPr>
          <w:rFonts w:cs="Calibri"/>
          <w:b/>
          <w:color w:val="5B9BD5"/>
          <w:sz w:val="24"/>
          <w:szCs w:val="24"/>
        </w:rPr>
      </w:pPr>
    </w:p>
    <w:p w14:paraId="3AA135F7" w14:textId="77777777" w:rsidR="00725E10" w:rsidRPr="0013766C" w:rsidRDefault="00725E10" w:rsidP="00AC3539">
      <w:pPr>
        <w:keepNext/>
        <w:keepLines/>
        <w:spacing w:after="120" w:line="240" w:lineRule="auto"/>
        <w:jc w:val="both"/>
        <w:outlineLvl w:val="1"/>
        <w:rPr>
          <w:rFonts w:cs="Calibri"/>
          <w:b/>
          <w:color w:val="5B9BD5"/>
          <w:sz w:val="28"/>
          <w:szCs w:val="24"/>
        </w:rPr>
      </w:pPr>
      <w:r w:rsidRPr="00DE3CE6">
        <w:rPr>
          <w:rFonts w:cs="Calibri"/>
          <w:b/>
          <w:color w:val="5B9BD5"/>
          <w:sz w:val="28"/>
          <w:szCs w:val="24"/>
        </w:rPr>
        <w:t xml:space="preserve">Note Metodologiche </w:t>
      </w:r>
      <w:r>
        <w:rPr>
          <w:rFonts w:cs="Calibri"/>
          <w:b/>
          <w:color w:val="5B9BD5"/>
          <w:sz w:val="28"/>
          <w:szCs w:val="24"/>
        </w:rPr>
        <w:t>d</w:t>
      </w:r>
      <w:r w:rsidRPr="00DE3CE6">
        <w:rPr>
          <w:rFonts w:cs="Calibri"/>
          <w:b/>
          <w:color w:val="5B9BD5"/>
          <w:sz w:val="28"/>
          <w:szCs w:val="24"/>
        </w:rPr>
        <w:t>elle Elaborazioni Statistiche</w:t>
      </w:r>
    </w:p>
    <w:p w14:paraId="55A00E02" w14:textId="77777777" w:rsidR="00725E10" w:rsidRPr="00DE3CE6" w:rsidRDefault="00725E10" w:rsidP="00B174B9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Il presente</w:t>
      </w:r>
      <w:r w:rsidRPr="00DE3CE6">
        <w:rPr>
          <w:rFonts w:cs="Calibri"/>
          <w:sz w:val="24"/>
          <w:szCs w:val="24"/>
        </w:rPr>
        <w:t xml:space="preserve"> rapporto è </w:t>
      </w:r>
      <w:r>
        <w:rPr>
          <w:rFonts w:cs="Calibri"/>
          <w:sz w:val="24"/>
          <w:szCs w:val="24"/>
        </w:rPr>
        <w:t>stato elaborat</w:t>
      </w:r>
      <w:r w:rsidRPr="00DE3CE6">
        <w:rPr>
          <w:rFonts w:cs="Calibri"/>
          <w:sz w:val="24"/>
          <w:szCs w:val="24"/>
        </w:rPr>
        <w:t xml:space="preserve">o dall’ISS </w:t>
      </w:r>
      <w:r>
        <w:rPr>
          <w:rFonts w:cs="Calibri"/>
          <w:sz w:val="24"/>
          <w:szCs w:val="24"/>
        </w:rPr>
        <w:t>utilizzando i</w:t>
      </w:r>
      <w:r w:rsidRPr="00DE3CE6">
        <w:rPr>
          <w:rFonts w:cs="Calibri"/>
          <w:sz w:val="24"/>
          <w:szCs w:val="24"/>
        </w:rPr>
        <w:t xml:space="preserve"> dati provenienti </w:t>
      </w:r>
      <w:r>
        <w:rPr>
          <w:rFonts w:cs="Calibri"/>
          <w:sz w:val="24"/>
          <w:szCs w:val="24"/>
        </w:rPr>
        <w:t>da</w:t>
      </w:r>
      <w:r w:rsidRPr="00DE3CE6">
        <w:rPr>
          <w:rFonts w:cs="Calibri"/>
          <w:sz w:val="24"/>
          <w:szCs w:val="24"/>
        </w:rPr>
        <w:t xml:space="preserve"> due schede di rilevazione predisposte per l’utilizzo da parte delle Strutture Residenziali</w:t>
      </w:r>
      <w:r>
        <w:rPr>
          <w:rFonts w:cs="Calibri"/>
          <w:sz w:val="24"/>
          <w:szCs w:val="24"/>
        </w:rPr>
        <w:t>:</w:t>
      </w:r>
      <w:r w:rsidRPr="00DE3CE6">
        <w:rPr>
          <w:rFonts w:cs="Calibri"/>
          <w:sz w:val="24"/>
          <w:szCs w:val="24"/>
        </w:rPr>
        <w:t xml:space="preserve"> una da compilare ogni trimestre e una </w:t>
      </w:r>
      <w:r>
        <w:rPr>
          <w:rFonts w:cs="Calibri"/>
          <w:sz w:val="24"/>
          <w:szCs w:val="24"/>
        </w:rPr>
        <w:t>settimanale</w:t>
      </w:r>
      <w:r w:rsidRPr="00DE3CE6">
        <w:rPr>
          <w:rFonts w:cs="Calibri"/>
          <w:sz w:val="24"/>
          <w:szCs w:val="24"/>
        </w:rPr>
        <w:t>.</w:t>
      </w:r>
    </w:p>
    <w:p w14:paraId="7846554A" w14:textId="77777777" w:rsidR="00725E10" w:rsidRPr="00DE3CE6" w:rsidRDefault="00725E10" w:rsidP="00B174B9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3D42EDAC" w14:textId="18FEDA67" w:rsidR="00725E10" w:rsidRPr="00DE3CE6" w:rsidRDefault="00725E10" w:rsidP="00B174B9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Tramite</w:t>
      </w:r>
      <w:r w:rsidRPr="00DE3CE6">
        <w:rPr>
          <w:rFonts w:cs="Calibri"/>
          <w:sz w:val="24"/>
          <w:szCs w:val="24"/>
        </w:rPr>
        <w:t xml:space="preserve"> la </w:t>
      </w:r>
      <w:r w:rsidRPr="00DE3CE6">
        <w:rPr>
          <w:rFonts w:cs="Calibri"/>
          <w:b/>
          <w:sz w:val="24"/>
          <w:szCs w:val="24"/>
        </w:rPr>
        <w:t>scheda trimestrale</w:t>
      </w:r>
      <w:r w:rsidRPr="00DE3CE6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si richiedono</w:t>
      </w:r>
      <w:r w:rsidRPr="00DE3CE6">
        <w:rPr>
          <w:rFonts w:cs="Calibri"/>
          <w:sz w:val="24"/>
          <w:szCs w:val="24"/>
        </w:rPr>
        <w:t xml:space="preserve"> informazioni </w:t>
      </w:r>
      <w:r w:rsidR="00635B54">
        <w:rPr>
          <w:rFonts w:cs="Calibri"/>
          <w:sz w:val="24"/>
          <w:szCs w:val="24"/>
        </w:rPr>
        <w:t xml:space="preserve">aggregate </w:t>
      </w:r>
      <w:r w:rsidRPr="00DE3CE6">
        <w:rPr>
          <w:rFonts w:cs="Calibri"/>
          <w:sz w:val="24"/>
          <w:szCs w:val="24"/>
        </w:rPr>
        <w:t>relative alla struttura (tipologia, posti letto, aree di isolamento), al personale e ai visitatori.</w:t>
      </w:r>
    </w:p>
    <w:p w14:paraId="4BA4A7A4" w14:textId="65222ADB" w:rsidR="00725E10" w:rsidRPr="00DE3CE6" w:rsidRDefault="00725E10" w:rsidP="00B174B9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Tramite</w:t>
      </w:r>
      <w:r w:rsidRPr="00DE3CE6">
        <w:rPr>
          <w:rFonts w:cs="Calibri"/>
          <w:sz w:val="24"/>
          <w:szCs w:val="24"/>
        </w:rPr>
        <w:t xml:space="preserve"> la </w:t>
      </w:r>
      <w:r w:rsidRPr="00DE3CE6">
        <w:rPr>
          <w:rFonts w:cs="Calibri"/>
          <w:b/>
          <w:sz w:val="24"/>
          <w:szCs w:val="24"/>
        </w:rPr>
        <w:t>scheda settimanale</w:t>
      </w:r>
      <w:r w:rsidRPr="00DE3CE6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si richiedono</w:t>
      </w:r>
      <w:r w:rsidRPr="00DE3CE6">
        <w:rPr>
          <w:rFonts w:cs="Calibri"/>
          <w:sz w:val="24"/>
          <w:szCs w:val="24"/>
        </w:rPr>
        <w:t xml:space="preserve"> informazioni </w:t>
      </w:r>
      <w:r w:rsidR="00635B54">
        <w:rPr>
          <w:rFonts w:cs="Calibri"/>
          <w:sz w:val="24"/>
          <w:szCs w:val="24"/>
        </w:rPr>
        <w:t xml:space="preserve">aggregate </w:t>
      </w:r>
      <w:r w:rsidRPr="00DE3CE6">
        <w:rPr>
          <w:rFonts w:cs="Calibri"/>
          <w:sz w:val="24"/>
          <w:szCs w:val="24"/>
        </w:rPr>
        <w:t xml:space="preserve">relative ai residenti (numero di residenti presenti a inizio settimana, nuovi ricoveri, tamponi effettuati, eventuali criticità nella disponibilità dei tamponi, </w:t>
      </w:r>
      <w:r>
        <w:rPr>
          <w:rFonts w:cs="Calibri"/>
          <w:sz w:val="24"/>
          <w:szCs w:val="24"/>
        </w:rPr>
        <w:t xml:space="preserve">residenti vaccinati, </w:t>
      </w:r>
      <w:r w:rsidRPr="00DE3CE6">
        <w:rPr>
          <w:rFonts w:cs="Calibri"/>
          <w:sz w:val="24"/>
          <w:szCs w:val="24"/>
        </w:rPr>
        <w:t xml:space="preserve">casi </w:t>
      </w:r>
      <w:r>
        <w:rPr>
          <w:rFonts w:cs="Calibri"/>
          <w:sz w:val="24"/>
          <w:szCs w:val="24"/>
        </w:rPr>
        <w:t>SARS</w:t>
      </w:r>
      <w:r w:rsidRPr="00DE3CE6">
        <w:rPr>
          <w:rFonts w:cs="Calibri"/>
          <w:sz w:val="24"/>
          <w:szCs w:val="24"/>
        </w:rPr>
        <w:t>-CoV</w:t>
      </w:r>
      <w:r>
        <w:rPr>
          <w:rFonts w:cs="Calibri"/>
          <w:sz w:val="24"/>
          <w:szCs w:val="24"/>
        </w:rPr>
        <w:t>-</w:t>
      </w:r>
      <w:r w:rsidRPr="00DE3CE6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 xml:space="preserve"> positivi</w:t>
      </w:r>
      <w:r w:rsidRPr="00DE3CE6">
        <w:rPr>
          <w:rFonts w:cs="Calibri"/>
          <w:sz w:val="24"/>
          <w:szCs w:val="24"/>
        </w:rPr>
        <w:t xml:space="preserve">, </w:t>
      </w:r>
      <w:r w:rsidRPr="003F6205">
        <w:rPr>
          <w:rFonts w:cs="Calibri"/>
          <w:sz w:val="24"/>
          <w:szCs w:val="24"/>
        </w:rPr>
        <w:t xml:space="preserve">ospedalizzazioni e decessi), agli operatori, </w:t>
      </w:r>
      <w:r>
        <w:rPr>
          <w:rFonts w:cs="Calibri"/>
          <w:sz w:val="24"/>
          <w:szCs w:val="24"/>
        </w:rPr>
        <w:t>(</w:t>
      </w:r>
      <w:r w:rsidRPr="003F6205">
        <w:rPr>
          <w:rFonts w:cs="Calibri"/>
          <w:sz w:val="24"/>
          <w:szCs w:val="24"/>
        </w:rPr>
        <w:t>tamponi</w:t>
      </w:r>
      <w:r>
        <w:rPr>
          <w:rFonts w:cs="Calibri"/>
          <w:sz w:val="24"/>
          <w:szCs w:val="24"/>
        </w:rPr>
        <w:t xml:space="preserve"> effettuati</w:t>
      </w:r>
      <w:r w:rsidRPr="003F6205">
        <w:rPr>
          <w:rFonts w:cs="Calibri"/>
          <w:sz w:val="24"/>
          <w:szCs w:val="24"/>
        </w:rPr>
        <w:t xml:space="preserve">, casi </w:t>
      </w:r>
      <w:r>
        <w:rPr>
          <w:rFonts w:cs="Calibri"/>
          <w:sz w:val="24"/>
          <w:szCs w:val="24"/>
        </w:rPr>
        <w:t>SARS</w:t>
      </w:r>
      <w:r w:rsidRPr="00DE3CE6">
        <w:rPr>
          <w:rFonts w:cs="Calibri"/>
          <w:sz w:val="24"/>
          <w:szCs w:val="24"/>
        </w:rPr>
        <w:t>-CoV</w:t>
      </w:r>
      <w:r>
        <w:rPr>
          <w:rFonts w:cs="Calibri"/>
          <w:sz w:val="24"/>
          <w:szCs w:val="24"/>
        </w:rPr>
        <w:t>-</w:t>
      </w:r>
      <w:r w:rsidRPr="00DE3CE6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 xml:space="preserve"> positivi </w:t>
      </w:r>
      <w:r w:rsidRPr="00924F95">
        <w:rPr>
          <w:rFonts w:cs="Calibri"/>
          <w:sz w:val="24"/>
          <w:szCs w:val="24"/>
        </w:rPr>
        <w:t>e decessi</w:t>
      </w:r>
      <w:r w:rsidRPr="00DE3CE6">
        <w:rPr>
          <w:rFonts w:cs="Calibri"/>
          <w:sz w:val="24"/>
          <w:szCs w:val="24"/>
        </w:rPr>
        <w:t>), eventuali criticità sulla disponibilità di DPI ed eventi avversi</w:t>
      </w:r>
      <w:r>
        <w:rPr>
          <w:rFonts w:cs="Calibri"/>
          <w:sz w:val="24"/>
          <w:szCs w:val="24"/>
        </w:rPr>
        <w:t xml:space="preserve">. </w:t>
      </w:r>
      <w:r w:rsidRPr="00DE3CE6">
        <w:rPr>
          <w:rFonts w:cs="Calibri"/>
          <w:sz w:val="24"/>
          <w:szCs w:val="24"/>
        </w:rPr>
        <w:t xml:space="preserve"> </w:t>
      </w:r>
    </w:p>
    <w:p w14:paraId="06C01559" w14:textId="7D6116AB" w:rsidR="00725E10" w:rsidRPr="00DE3CE6" w:rsidRDefault="00725E10" w:rsidP="00B174B9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Le schede sono compilate dai </w:t>
      </w:r>
      <w:r w:rsidRPr="00DE3CE6">
        <w:rPr>
          <w:rFonts w:cs="Calibri"/>
          <w:sz w:val="24"/>
          <w:szCs w:val="24"/>
        </w:rPr>
        <w:t xml:space="preserve">referenti </w:t>
      </w:r>
      <w:r w:rsidR="00635B54">
        <w:rPr>
          <w:rFonts w:cs="Calibri"/>
          <w:sz w:val="24"/>
          <w:szCs w:val="24"/>
        </w:rPr>
        <w:t xml:space="preserve">delle strutture </w:t>
      </w:r>
      <w:r>
        <w:rPr>
          <w:rFonts w:cs="Calibri"/>
          <w:sz w:val="24"/>
          <w:szCs w:val="24"/>
        </w:rPr>
        <w:t>direttamente online su una piattaforma web predisposta e gestita da ISS.</w:t>
      </w:r>
      <w:r w:rsidRPr="00DE3CE6">
        <w:rPr>
          <w:rFonts w:cs="Calibri"/>
          <w:sz w:val="24"/>
          <w:szCs w:val="24"/>
        </w:rPr>
        <w:t xml:space="preserve"> Per alcune Regioni, la raccolta dei dati avviene attraverso il proprio sistema informativo con successivo invio dei dati all’ISS.</w:t>
      </w:r>
      <w:r>
        <w:rPr>
          <w:rFonts w:cs="Calibri"/>
          <w:sz w:val="24"/>
          <w:szCs w:val="24"/>
        </w:rPr>
        <w:t xml:space="preserve"> Tutti i dati raccolti vengono verificati per congruenza e completezza, e segnalati o discussi con gli operatori delle strutture per la risoluzione di eventuali anomalie o incongruenze</w:t>
      </w:r>
      <w:r w:rsidR="00635B54">
        <w:rPr>
          <w:rFonts w:cs="Calibri"/>
          <w:sz w:val="24"/>
          <w:szCs w:val="24"/>
        </w:rPr>
        <w:t xml:space="preserve"> prima dell’emissione settimanale dei Report (uno per ciascuna Regione partecipante, e uno complessivo di sintesi contenente solo dati aggregati senza riferimenti alle singole strutture)</w:t>
      </w:r>
      <w:r>
        <w:rPr>
          <w:rFonts w:cs="Calibri"/>
          <w:sz w:val="24"/>
          <w:szCs w:val="24"/>
        </w:rPr>
        <w:t>.</w:t>
      </w:r>
    </w:p>
    <w:p w14:paraId="11FFB7D9" w14:textId="10AF9D34" w:rsidR="00725E10" w:rsidRPr="00DE3CE6" w:rsidRDefault="00725E10" w:rsidP="00B174B9">
      <w:pPr>
        <w:jc w:val="both"/>
        <w:rPr>
          <w:rFonts w:cs="Calibri"/>
          <w:sz w:val="24"/>
          <w:szCs w:val="24"/>
        </w:rPr>
      </w:pPr>
      <w:r w:rsidRPr="002252EC">
        <w:rPr>
          <w:rFonts w:cs="Calibri"/>
          <w:sz w:val="24"/>
          <w:szCs w:val="24"/>
        </w:rPr>
        <w:t xml:space="preserve">Il presente Report descrive a livello nazionale, </w:t>
      </w:r>
      <w:r>
        <w:rPr>
          <w:rFonts w:cs="Calibri"/>
          <w:sz w:val="24"/>
          <w:szCs w:val="24"/>
        </w:rPr>
        <w:t xml:space="preserve">tramite l’uso di dati aggregati sintetizzati in </w:t>
      </w:r>
      <w:r w:rsidRPr="002252EC">
        <w:rPr>
          <w:rFonts w:cs="Calibri"/>
          <w:sz w:val="24"/>
          <w:szCs w:val="24"/>
        </w:rPr>
        <w:t>grafici e tabelle, l’andamento settimanale</w:t>
      </w:r>
      <w:r>
        <w:rPr>
          <w:rFonts w:cs="Calibri"/>
          <w:sz w:val="24"/>
          <w:szCs w:val="24"/>
        </w:rPr>
        <w:t xml:space="preserve"> </w:t>
      </w:r>
      <w:r w:rsidRPr="002252EC">
        <w:rPr>
          <w:rFonts w:cs="Calibri"/>
          <w:sz w:val="24"/>
          <w:szCs w:val="24"/>
        </w:rPr>
        <w:t>di indicatori che si basano sull’</w:t>
      </w:r>
      <w:r>
        <w:rPr>
          <w:rFonts w:cs="Calibri"/>
          <w:sz w:val="24"/>
          <w:szCs w:val="24"/>
        </w:rPr>
        <w:t xml:space="preserve">integrazione e sulla successiva </w:t>
      </w:r>
      <w:r w:rsidRPr="002252EC">
        <w:rPr>
          <w:rFonts w:cs="Calibri"/>
          <w:sz w:val="24"/>
          <w:szCs w:val="24"/>
        </w:rPr>
        <w:t>elaborazione dei dati raccolti trimestralmente e</w:t>
      </w:r>
      <w:r>
        <w:rPr>
          <w:rFonts w:cs="Calibri"/>
          <w:sz w:val="24"/>
          <w:szCs w:val="24"/>
        </w:rPr>
        <w:t xml:space="preserve"> </w:t>
      </w:r>
      <w:r w:rsidRPr="002252EC">
        <w:rPr>
          <w:rFonts w:cs="Calibri"/>
          <w:sz w:val="24"/>
          <w:szCs w:val="24"/>
        </w:rPr>
        <w:t xml:space="preserve">settimanalmente nelle Strutture residenziali che aderiscono al monitoraggio. </w:t>
      </w:r>
      <w:r w:rsidRPr="003C5770">
        <w:rPr>
          <w:rFonts w:cs="Calibri"/>
          <w:sz w:val="24"/>
          <w:szCs w:val="24"/>
        </w:rPr>
        <w:t xml:space="preserve"> </w:t>
      </w:r>
      <w:r w:rsidRPr="00DE3CE6">
        <w:rPr>
          <w:rFonts w:cs="Calibri"/>
          <w:sz w:val="24"/>
          <w:szCs w:val="24"/>
        </w:rPr>
        <w:t>I dati relativi alle ultime due settimane</w:t>
      </w:r>
      <w:r>
        <w:rPr>
          <w:rFonts w:cs="Calibri"/>
          <w:sz w:val="24"/>
          <w:szCs w:val="24"/>
        </w:rPr>
        <w:t xml:space="preserve"> di rilevazione</w:t>
      </w:r>
      <w:r w:rsidRPr="00DE3CE6">
        <w:rPr>
          <w:rFonts w:cs="Calibri"/>
          <w:sz w:val="24"/>
          <w:szCs w:val="24"/>
        </w:rPr>
        <w:t xml:space="preserve"> si intendono ancora non consolidati</w:t>
      </w:r>
      <w:r>
        <w:rPr>
          <w:rFonts w:cs="Calibri"/>
          <w:sz w:val="24"/>
          <w:szCs w:val="24"/>
        </w:rPr>
        <w:t xml:space="preserve"> al momento della stesura del presente Rapporto</w:t>
      </w:r>
      <w:r w:rsidRPr="00DE3CE6">
        <w:rPr>
          <w:rFonts w:cs="Calibri"/>
          <w:sz w:val="24"/>
          <w:szCs w:val="24"/>
        </w:rPr>
        <w:t>.</w:t>
      </w:r>
    </w:p>
    <w:p w14:paraId="1A3CC25F" w14:textId="17C9F6BE" w:rsidR="00725E10" w:rsidRPr="00DE3CE6" w:rsidRDefault="00725E10" w:rsidP="00B174B9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Nelle elaborazioni sono considerate</w:t>
      </w:r>
      <w:r w:rsidR="000C4C27">
        <w:rPr>
          <w:rFonts w:cs="Calibri"/>
          <w:sz w:val="24"/>
          <w:szCs w:val="24"/>
        </w:rPr>
        <w:t xml:space="preserve"> separatamente</w:t>
      </w:r>
      <w:r>
        <w:rPr>
          <w:rFonts w:cs="Calibri"/>
          <w:sz w:val="24"/>
          <w:szCs w:val="24"/>
        </w:rPr>
        <w:t>:</w:t>
      </w:r>
    </w:p>
    <w:p w14:paraId="27F97561" w14:textId="77777777" w:rsidR="00725E10" w:rsidRPr="00DE3CE6" w:rsidRDefault="00725E10" w:rsidP="007E09FB">
      <w:pPr>
        <w:numPr>
          <w:ilvl w:val="0"/>
          <w:numId w:val="2"/>
        </w:numPr>
        <w:spacing w:after="0" w:line="240" w:lineRule="auto"/>
        <w:ind w:left="1418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solo le s</w:t>
      </w:r>
      <w:r w:rsidRPr="00DE3CE6">
        <w:rPr>
          <w:rFonts w:cs="Calibri"/>
          <w:sz w:val="24"/>
          <w:szCs w:val="24"/>
        </w:rPr>
        <w:t xml:space="preserve">trutture residenziali per anziani non autosufficienti </w:t>
      </w:r>
    </w:p>
    <w:p w14:paraId="2818CCED" w14:textId="77777777" w:rsidR="00725E10" w:rsidRPr="003C5770" w:rsidRDefault="00725E10" w:rsidP="007E09FB">
      <w:pPr>
        <w:numPr>
          <w:ilvl w:val="0"/>
          <w:numId w:val="2"/>
        </w:numPr>
        <w:spacing w:after="0" w:line="240" w:lineRule="auto"/>
        <w:ind w:left="1418"/>
        <w:contextualSpacing/>
        <w:jc w:val="both"/>
        <w:rPr>
          <w:rFonts w:cs="Calibri"/>
          <w:sz w:val="24"/>
          <w:szCs w:val="24"/>
        </w:rPr>
      </w:pPr>
      <w:r w:rsidRPr="003C5770">
        <w:rPr>
          <w:rFonts w:cs="Calibri"/>
          <w:sz w:val="24"/>
          <w:szCs w:val="24"/>
        </w:rPr>
        <w:t>tutte le Strutture residenziali aggregate che includono:</w:t>
      </w:r>
    </w:p>
    <w:p w14:paraId="5A7A6CE6" w14:textId="77777777" w:rsidR="00725E10" w:rsidRPr="00DE3CE6" w:rsidRDefault="00725E10" w:rsidP="007E09FB">
      <w:pPr>
        <w:numPr>
          <w:ilvl w:val="1"/>
          <w:numId w:val="2"/>
        </w:numPr>
        <w:spacing w:after="0" w:line="240" w:lineRule="auto"/>
        <w:ind w:left="1418" w:firstLine="0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</w:t>
      </w:r>
      <w:r w:rsidRPr="00DE3CE6">
        <w:rPr>
          <w:rFonts w:cs="Calibri"/>
          <w:sz w:val="24"/>
          <w:szCs w:val="24"/>
        </w:rPr>
        <w:t xml:space="preserve">trutture residenziali per anziani non autosufficienti </w:t>
      </w:r>
    </w:p>
    <w:p w14:paraId="25B0945D" w14:textId="77777777" w:rsidR="00725E10" w:rsidRPr="00DE3CE6" w:rsidRDefault="00725E10" w:rsidP="007E09FB">
      <w:pPr>
        <w:numPr>
          <w:ilvl w:val="1"/>
          <w:numId w:val="2"/>
        </w:numPr>
        <w:spacing w:after="0" w:line="240" w:lineRule="auto"/>
        <w:ind w:left="1418" w:firstLine="0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</w:t>
      </w:r>
      <w:r w:rsidRPr="00DE3CE6">
        <w:rPr>
          <w:rFonts w:cs="Calibri"/>
          <w:sz w:val="24"/>
          <w:szCs w:val="24"/>
        </w:rPr>
        <w:t xml:space="preserve">trutture residenziali per persone disabili giovani e adulte </w:t>
      </w:r>
    </w:p>
    <w:p w14:paraId="02388157" w14:textId="77777777" w:rsidR="00725E10" w:rsidRPr="00DE3CE6" w:rsidRDefault="00725E10" w:rsidP="007E09FB">
      <w:pPr>
        <w:numPr>
          <w:ilvl w:val="1"/>
          <w:numId w:val="2"/>
        </w:numPr>
        <w:spacing w:after="0" w:line="240" w:lineRule="auto"/>
        <w:ind w:left="1418" w:firstLine="0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s</w:t>
      </w:r>
      <w:r w:rsidRPr="00DE3CE6">
        <w:rPr>
          <w:rFonts w:cs="Calibri"/>
          <w:sz w:val="24"/>
          <w:szCs w:val="24"/>
        </w:rPr>
        <w:t xml:space="preserve">trutture residenziali per persone con patologie psichiatriche </w:t>
      </w:r>
    </w:p>
    <w:p w14:paraId="4CC69A01" w14:textId="77777777" w:rsidR="00725E10" w:rsidRPr="00AC3539" w:rsidRDefault="00725E10" w:rsidP="00E041F4">
      <w:pPr>
        <w:numPr>
          <w:ilvl w:val="1"/>
          <w:numId w:val="2"/>
        </w:numPr>
        <w:spacing w:after="0" w:line="240" w:lineRule="auto"/>
        <w:ind w:left="1418" w:firstLine="0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</w:t>
      </w:r>
      <w:r w:rsidRPr="00DE3CE6">
        <w:rPr>
          <w:rFonts w:cs="Calibri"/>
          <w:sz w:val="24"/>
          <w:szCs w:val="24"/>
        </w:rPr>
        <w:t>trutture residenziali ex art. 26 Legge n.833/78</w:t>
      </w:r>
      <w:r>
        <w:rPr>
          <w:rFonts w:cs="Calibri"/>
          <w:sz w:val="24"/>
          <w:szCs w:val="24"/>
        </w:rPr>
        <w:t xml:space="preserve"> e socio-assistenziali.</w:t>
      </w:r>
      <w:r w:rsidRPr="00DE3CE6">
        <w:rPr>
          <w:rFonts w:cs="Calibri"/>
          <w:sz w:val="24"/>
          <w:szCs w:val="24"/>
        </w:rPr>
        <w:t xml:space="preserve"> </w:t>
      </w:r>
    </w:p>
    <w:p w14:paraId="6067EEAE" w14:textId="77777777" w:rsidR="00BD299E" w:rsidRDefault="00BD299E" w:rsidP="00E041F4">
      <w:pPr>
        <w:spacing w:after="0"/>
        <w:jc w:val="both"/>
        <w:rPr>
          <w:rFonts w:cs="Calibri"/>
          <w:sz w:val="24"/>
          <w:szCs w:val="24"/>
        </w:rPr>
      </w:pPr>
    </w:p>
    <w:p w14:paraId="7A0F096E" w14:textId="3C2E89C4" w:rsidR="00725E10" w:rsidRDefault="00725E10" w:rsidP="00E041F4">
      <w:pPr>
        <w:spacing w:after="0"/>
        <w:jc w:val="both"/>
        <w:rPr>
          <w:rFonts w:cs="Calibri"/>
          <w:sz w:val="24"/>
          <w:szCs w:val="24"/>
        </w:rPr>
      </w:pPr>
      <w:r w:rsidRPr="00DE3CE6">
        <w:rPr>
          <w:rFonts w:cs="Calibri"/>
          <w:sz w:val="24"/>
          <w:szCs w:val="24"/>
        </w:rPr>
        <w:t xml:space="preserve">Le Regioni attualmente aderenti al monitoraggio </w:t>
      </w:r>
      <w:r w:rsidR="000C4C27">
        <w:rPr>
          <w:rFonts w:cs="Calibri"/>
          <w:sz w:val="24"/>
          <w:szCs w:val="24"/>
        </w:rPr>
        <w:t xml:space="preserve">fin qui elaborato e discusso nel presente report </w:t>
      </w:r>
      <w:r w:rsidRPr="00DE3CE6">
        <w:rPr>
          <w:rFonts w:cs="Calibri"/>
          <w:sz w:val="24"/>
          <w:szCs w:val="24"/>
        </w:rPr>
        <w:t>sono: Abruzzo, Campania, Marche, Molise, Sicilia, Toscana, Valle d’Aosta.</w:t>
      </w:r>
      <w:r w:rsidR="000C4C27">
        <w:rPr>
          <w:rFonts w:cs="Calibri"/>
          <w:sz w:val="24"/>
          <w:szCs w:val="24"/>
        </w:rPr>
        <w:t xml:space="preserve"> </w:t>
      </w:r>
    </w:p>
    <w:p w14:paraId="2DE9B57A" w14:textId="77777777" w:rsidR="00725E10" w:rsidRPr="00DE3CE6" w:rsidRDefault="00725E10" w:rsidP="00E041F4">
      <w:pPr>
        <w:spacing w:after="0"/>
        <w:jc w:val="both"/>
        <w:rPr>
          <w:rFonts w:cs="Calibri"/>
          <w:sz w:val="24"/>
          <w:szCs w:val="24"/>
        </w:rPr>
      </w:pPr>
    </w:p>
    <w:p w14:paraId="79E3CE2D" w14:textId="77777777" w:rsidR="00725E10" w:rsidRDefault="00725E10" w:rsidP="00E041F4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La </w:t>
      </w:r>
      <w:r w:rsidRPr="0062543B">
        <w:rPr>
          <w:rFonts w:cs="Calibri"/>
          <w:b/>
          <w:sz w:val="24"/>
          <w:szCs w:val="24"/>
        </w:rPr>
        <w:t>tabella 1</w:t>
      </w:r>
      <w:r>
        <w:rPr>
          <w:rFonts w:cs="Calibri"/>
          <w:sz w:val="24"/>
          <w:szCs w:val="24"/>
        </w:rPr>
        <w:t xml:space="preserve"> </w:t>
      </w:r>
      <w:r w:rsidRPr="00133C33">
        <w:rPr>
          <w:rFonts w:cs="Calibri"/>
          <w:sz w:val="24"/>
          <w:szCs w:val="24"/>
        </w:rPr>
        <w:t>indica il totale delle strutture partecipanti all</w:t>
      </w:r>
      <w:r>
        <w:rPr>
          <w:rFonts w:cs="Calibri"/>
          <w:sz w:val="24"/>
          <w:szCs w:val="24"/>
        </w:rPr>
        <w:t>’attuale</w:t>
      </w:r>
      <w:r w:rsidRPr="00133C33">
        <w:rPr>
          <w:rFonts w:cs="Calibri"/>
          <w:sz w:val="24"/>
          <w:szCs w:val="24"/>
        </w:rPr>
        <w:t xml:space="preserve"> rilevazione e il totale delle strutture censite in ciascuna Regione partecipante.</w:t>
      </w:r>
      <w:r>
        <w:rPr>
          <w:rFonts w:cs="Calibri"/>
          <w:sz w:val="24"/>
          <w:szCs w:val="24"/>
        </w:rPr>
        <w:t xml:space="preserve"> Il totale delle strutture partecipanti varia </w:t>
      </w:r>
      <w:r w:rsidRPr="00AB0F50">
        <w:rPr>
          <w:rFonts w:cs="Calibri"/>
          <w:sz w:val="24"/>
          <w:szCs w:val="24"/>
        </w:rPr>
        <w:t>dal 23% al 92</w:t>
      </w:r>
      <w:r w:rsidRPr="00133C33">
        <w:rPr>
          <w:rFonts w:cs="Calibri"/>
          <w:sz w:val="24"/>
          <w:szCs w:val="24"/>
        </w:rPr>
        <w:t>% di</w:t>
      </w:r>
      <w:r>
        <w:rPr>
          <w:rFonts w:cs="Calibri"/>
          <w:sz w:val="24"/>
          <w:szCs w:val="24"/>
        </w:rPr>
        <w:t xml:space="preserve"> quelle censite a livello regionale.</w:t>
      </w:r>
    </w:p>
    <w:p w14:paraId="336991C7" w14:textId="77777777" w:rsidR="00725E10" w:rsidRDefault="00725E10" w:rsidP="00E041F4">
      <w:pPr>
        <w:spacing w:after="0"/>
        <w:jc w:val="both"/>
        <w:rPr>
          <w:rFonts w:cs="Calibri"/>
          <w:sz w:val="24"/>
          <w:szCs w:val="24"/>
        </w:rPr>
      </w:pPr>
    </w:p>
    <w:p w14:paraId="740A5BD4" w14:textId="77777777" w:rsidR="00725E10" w:rsidRDefault="00725E10" w:rsidP="00E041F4">
      <w:pPr>
        <w:spacing w:after="0"/>
        <w:jc w:val="both"/>
        <w:rPr>
          <w:rFonts w:cs="Calibri"/>
          <w:sz w:val="24"/>
          <w:szCs w:val="24"/>
        </w:rPr>
      </w:pPr>
    </w:p>
    <w:p w14:paraId="4C71BA5E" w14:textId="109998E3" w:rsidR="00725E10" w:rsidRDefault="00725E10" w:rsidP="00411CB5">
      <w:pPr>
        <w:jc w:val="both"/>
        <w:rPr>
          <w:rFonts w:cs="Calibri"/>
          <w:sz w:val="24"/>
          <w:szCs w:val="24"/>
        </w:rPr>
      </w:pPr>
      <w:r w:rsidRPr="00AB0F50">
        <w:rPr>
          <w:rFonts w:cs="Calibri"/>
          <w:b/>
          <w:sz w:val="24"/>
          <w:szCs w:val="24"/>
        </w:rPr>
        <w:t>Tabella 1.</w:t>
      </w:r>
      <w:r w:rsidRPr="00AB0F50">
        <w:rPr>
          <w:rFonts w:cs="Calibri"/>
          <w:sz w:val="24"/>
          <w:szCs w:val="24"/>
        </w:rPr>
        <w:t xml:space="preserve"> </w:t>
      </w:r>
      <w:r w:rsidRPr="00411CB5">
        <w:rPr>
          <w:rFonts w:cs="Calibri"/>
          <w:sz w:val="23"/>
          <w:szCs w:val="23"/>
        </w:rPr>
        <w:t xml:space="preserve">Strutture partecipanti e censite per Regione nel </w:t>
      </w:r>
      <w:r w:rsidRPr="00207720">
        <w:rPr>
          <w:rFonts w:cs="Calibri"/>
          <w:sz w:val="23"/>
          <w:szCs w:val="23"/>
        </w:rPr>
        <w:t>periodo 2</w:t>
      </w:r>
      <w:r w:rsidR="001A4684">
        <w:rPr>
          <w:rFonts w:cs="Calibri"/>
          <w:sz w:val="23"/>
          <w:szCs w:val="23"/>
        </w:rPr>
        <w:t>1</w:t>
      </w:r>
      <w:r w:rsidRPr="00207720">
        <w:rPr>
          <w:rFonts w:cs="Calibri"/>
          <w:sz w:val="23"/>
          <w:szCs w:val="23"/>
        </w:rPr>
        <w:t xml:space="preserve"> dicembre 2020</w:t>
      </w:r>
      <w:r w:rsidR="001B48B7">
        <w:rPr>
          <w:rFonts w:cs="Calibri"/>
          <w:sz w:val="23"/>
          <w:szCs w:val="23"/>
        </w:rPr>
        <w:t>-</w:t>
      </w:r>
      <w:r w:rsidR="008D2110">
        <w:rPr>
          <w:rFonts w:cs="Calibri"/>
          <w:sz w:val="23"/>
          <w:szCs w:val="23"/>
        </w:rPr>
        <w:t>18 settembre</w:t>
      </w:r>
      <w:r w:rsidRPr="00207720">
        <w:rPr>
          <w:rFonts w:cs="Calibri"/>
          <w:sz w:val="23"/>
          <w:szCs w:val="23"/>
        </w:rPr>
        <w:t xml:space="preserve"> 2022</w:t>
      </w:r>
      <w:r>
        <w:rPr>
          <w:rFonts w:cs="Calibri"/>
          <w:sz w:val="23"/>
          <w:szCs w:val="23"/>
        </w:rPr>
        <w:t>.</w:t>
      </w:r>
      <w:r w:rsidRPr="00411CB5">
        <w:rPr>
          <w:rFonts w:cs="Calibri"/>
          <w:sz w:val="23"/>
          <w:szCs w:val="23"/>
        </w:rPr>
        <w:t xml:space="preserve"> </w:t>
      </w:r>
    </w:p>
    <w:tbl>
      <w:tblPr>
        <w:tblW w:w="9781" w:type="dxa"/>
        <w:tblLook w:val="00A0" w:firstRow="1" w:lastRow="0" w:firstColumn="1" w:lastColumn="0" w:noHBand="0" w:noVBand="0"/>
      </w:tblPr>
      <w:tblGrid>
        <w:gridCol w:w="1701"/>
        <w:gridCol w:w="2381"/>
        <w:gridCol w:w="2297"/>
        <w:gridCol w:w="1843"/>
        <w:gridCol w:w="1559"/>
      </w:tblGrid>
      <w:tr w:rsidR="00725E10" w:rsidRPr="00244E73" w14:paraId="21CD53D7" w14:textId="77777777" w:rsidTr="00244E73">
        <w:tc>
          <w:tcPr>
            <w:tcW w:w="1701" w:type="dxa"/>
            <w:vAlign w:val="center"/>
          </w:tcPr>
          <w:p w14:paraId="420786C8" w14:textId="77777777" w:rsidR="00725E10" w:rsidRPr="00244E73" w:rsidRDefault="00725E10" w:rsidP="00244E73">
            <w:pPr>
              <w:spacing w:before="240" w:after="0" w:line="240" w:lineRule="auto"/>
              <w:rPr>
                <w:b/>
                <w:bCs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35CA904E" w14:textId="77777777" w:rsidR="00725E10" w:rsidRPr="00244E73" w:rsidRDefault="00725E10" w:rsidP="00244E73">
            <w:pPr>
              <w:spacing w:before="240" w:after="0" w:line="240" w:lineRule="auto"/>
              <w:jc w:val="center"/>
              <w:rPr>
                <w:b/>
                <w:bCs/>
                <w:sz w:val="19"/>
                <w:szCs w:val="19"/>
              </w:rPr>
            </w:pPr>
            <w:r w:rsidRPr="00244E73">
              <w:rPr>
                <w:b/>
                <w:bCs/>
                <w:sz w:val="19"/>
                <w:szCs w:val="19"/>
              </w:rPr>
              <w:t xml:space="preserve">Strutture aderenti al monitoraggio </w:t>
            </w:r>
          </w:p>
          <w:p w14:paraId="370EDE86" w14:textId="1EE3A258" w:rsidR="00725E10" w:rsidRPr="00244E73" w:rsidRDefault="00725E10" w:rsidP="00244E73">
            <w:pPr>
              <w:spacing w:after="0" w:line="240" w:lineRule="auto"/>
              <w:jc w:val="center"/>
              <w:rPr>
                <w:b/>
                <w:bCs/>
                <w:sz w:val="19"/>
                <w:szCs w:val="19"/>
              </w:rPr>
            </w:pPr>
            <w:r w:rsidRPr="00244E73">
              <w:rPr>
                <w:b/>
                <w:bCs/>
                <w:sz w:val="19"/>
                <w:szCs w:val="19"/>
              </w:rPr>
              <w:t xml:space="preserve">Dicembre 2020 – </w:t>
            </w:r>
            <w:r w:rsidR="001B48B7">
              <w:rPr>
                <w:b/>
                <w:bCs/>
                <w:sz w:val="19"/>
                <w:szCs w:val="19"/>
              </w:rPr>
              <w:t>Settembre</w:t>
            </w:r>
            <w:r w:rsidRPr="00244E73">
              <w:rPr>
                <w:b/>
                <w:bCs/>
                <w:sz w:val="19"/>
                <w:szCs w:val="19"/>
              </w:rPr>
              <w:t xml:space="preserve"> 2022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vAlign w:val="center"/>
          </w:tcPr>
          <w:p w14:paraId="507B7A85" w14:textId="13F363B3" w:rsidR="00725E10" w:rsidRPr="00244E73" w:rsidRDefault="00725E10" w:rsidP="00244E73">
            <w:pPr>
              <w:spacing w:before="240" w:after="0" w:line="240" w:lineRule="auto"/>
              <w:jc w:val="center"/>
              <w:rPr>
                <w:sz w:val="20"/>
                <w:szCs w:val="20"/>
              </w:rPr>
            </w:pPr>
            <w:r w:rsidRPr="00244E73">
              <w:rPr>
                <w:b/>
                <w:bCs/>
                <w:sz w:val="19"/>
                <w:szCs w:val="19"/>
              </w:rPr>
              <w:t>Posti letto delle strutture aderenti al monitoraggio Dicembre 2020-</w:t>
            </w:r>
            <w:r w:rsidR="001B48B7">
              <w:rPr>
                <w:b/>
                <w:bCs/>
                <w:sz w:val="19"/>
                <w:szCs w:val="19"/>
              </w:rPr>
              <w:t xml:space="preserve"> Settembre</w:t>
            </w:r>
            <w:r w:rsidRPr="00244E73">
              <w:rPr>
                <w:b/>
                <w:bCs/>
                <w:sz w:val="19"/>
                <w:szCs w:val="19"/>
              </w:rPr>
              <w:t xml:space="preserve"> 2022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C1810DE" w14:textId="0E3C782F" w:rsidR="00725E10" w:rsidRPr="00244E73" w:rsidRDefault="00725E10" w:rsidP="00244E73">
            <w:pPr>
              <w:spacing w:before="240" w:after="0" w:line="240" w:lineRule="auto"/>
              <w:jc w:val="center"/>
            </w:pPr>
            <w:r w:rsidRPr="00244E73">
              <w:rPr>
                <w:b/>
                <w:bCs/>
                <w:sz w:val="19"/>
                <w:szCs w:val="19"/>
              </w:rPr>
              <w:t xml:space="preserve">Strutture </w:t>
            </w:r>
            <w:r w:rsidR="000C4C27">
              <w:rPr>
                <w:b/>
                <w:bCs/>
                <w:sz w:val="19"/>
                <w:szCs w:val="19"/>
              </w:rPr>
              <w:t>censite</w:t>
            </w:r>
            <w:r w:rsidRPr="00244E73">
              <w:rPr>
                <w:b/>
                <w:bCs/>
                <w:sz w:val="19"/>
                <w:szCs w:val="19"/>
              </w:rPr>
              <w:t xml:space="preserve"> sul territorio a Luglio 2020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24BD23E" w14:textId="77777777" w:rsidR="00725E10" w:rsidRPr="00244E73" w:rsidRDefault="00725E10" w:rsidP="00244E73">
            <w:pPr>
              <w:spacing w:before="240" w:after="0" w:line="240" w:lineRule="auto"/>
              <w:jc w:val="center"/>
              <w:rPr>
                <w:i/>
                <w:iCs/>
              </w:rPr>
            </w:pPr>
            <w:r w:rsidRPr="00244E73">
              <w:rPr>
                <w:i/>
                <w:iCs/>
                <w:sz w:val="19"/>
                <w:szCs w:val="19"/>
              </w:rPr>
              <w:t>% adesione</w:t>
            </w:r>
          </w:p>
        </w:tc>
      </w:tr>
      <w:tr w:rsidR="00725E10" w:rsidRPr="00244E73" w14:paraId="222DA8A7" w14:textId="77777777" w:rsidTr="00244E73">
        <w:trPr>
          <w:trHeight w:val="508"/>
        </w:trPr>
        <w:tc>
          <w:tcPr>
            <w:tcW w:w="1701" w:type="dxa"/>
            <w:vAlign w:val="center"/>
          </w:tcPr>
          <w:p w14:paraId="5D16253D" w14:textId="77777777" w:rsidR="00725E10" w:rsidRPr="00244E73" w:rsidRDefault="00725E10" w:rsidP="00244E73">
            <w:pPr>
              <w:spacing w:before="240" w:after="0" w:line="240" w:lineRule="auto"/>
              <w:rPr>
                <w:b/>
                <w:bCs/>
                <w:sz w:val="20"/>
                <w:szCs w:val="20"/>
              </w:rPr>
            </w:pPr>
            <w:r w:rsidRPr="00244E73">
              <w:rPr>
                <w:b/>
                <w:bCs/>
                <w:sz w:val="20"/>
                <w:szCs w:val="20"/>
              </w:rPr>
              <w:t>ABRUZZO</w:t>
            </w:r>
          </w:p>
        </w:tc>
        <w:tc>
          <w:tcPr>
            <w:tcW w:w="2381" w:type="dxa"/>
            <w:tcBorders>
              <w:top w:val="single" w:sz="4" w:space="0" w:color="auto"/>
            </w:tcBorders>
            <w:vAlign w:val="center"/>
          </w:tcPr>
          <w:p w14:paraId="359F6F99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66</w:t>
            </w:r>
          </w:p>
        </w:tc>
        <w:tc>
          <w:tcPr>
            <w:tcW w:w="2297" w:type="dxa"/>
            <w:tcBorders>
              <w:top w:val="single" w:sz="4" w:space="0" w:color="auto"/>
            </w:tcBorders>
            <w:vAlign w:val="center"/>
          </w:tcPr>
          <w:p w14:paraId="408923A3" w14:textId="5C091A64" w:rsidR="00725E10" w:rsidRPr="00675386" w:rsidRDefault="001D41C1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3120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82902FF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864E83A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i/>
                <w:iCs/>
                <w:sz w:val="23"/>
                <w:szCs w:val="23"/>
              </w:rPr>
            </w:pPr>
            <w:r w:rsidRPr="00675386">
              <w:rPr>
                <w:i/>
                <w:iCs/>
                <w:sz w:val="23"/>
                <w:szCs w:val="23"/>
              </w:rPr>
              <w:t>79</w:t>
            </w:r>
          </w:p>
        </w:tc>
      </w:tr>
      <w:tr w:rsidR="00725E10" w:rsidRPr="00244E73" w14:paraId="52FF99E3" w14:textId="77777777" w:rsidTr="00244E73">
        <w:trPr>
          <w:trHeight w:val="384"/>
        </w:trPr>
        <w:tc>
          <w:tcPr>
            <w:tcW w:w="1701" w:type="dxa"/>
            <w:vAlign w:val="center"/>
          </w:tcPr>
          <w:p w14:paraId="4CABCF41" w14:textId="77777777" w:rsidR="00725E10" w:rsidRPr="00244E73" w:rsidRDefault="00725E10" w:rsidP="00244E73">
            <w:pPr>
              <w:spacing w:before="240" w:after="0" w:line="240" w:lineRule="auto"/>
              <w:rPr>
                <w:b/>
                <w:bCs/>
                <w:sz w:val="20"/>
                <w:szCs w:val="20"/>
              </w:rPr>
            </w:pPr>
            <w:r w:rsidRPr="00244E73">
              <w:rPr>
                <w:b/>
                <w:bCs/>
                <w:sz w:val="20"/>
                <w:szCs w:val="20"/>
              </w:rPr>
              <w:t>CAMPANIA</w:t>
            </w:r>
          </w:p>
        </w:tc>
        <w:tc>
          <w:tcPr>
            <w:tcW w:w="2381" w:type="dxa"/>
            <w:vAlign w:val="center"/>
          </w:tcPr>
          <w:p w14:paraId="763AE07A" w14:textId="07B000A4" w:rsidR="00725E10" w:rsidRPr="00675386" w:rsidRDefault="001D41C1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83</w:t>
            </w:r>
          </w:p>
        </w:tc>
        <w:tc>
          <w:tcPr>
            <w:tcW w:w="2297" w:type="dxa"/>
            <w:vAlign w:val="center"/>
          </w:tcPr>
          <w:p w14:paraId="4BC2AFCA" w14:textId="780EE27F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28</w:t>
            </w:r>
            <w:r w:rsidR="001D41C1" w:rsidRPr="00675386">
              <w:rPr>
                <w:sz w:val="23"/>
                <w:szCs w:val="23"/>
              </w:rPr>
              <w:t>7</w:t>
            </w:r>
            <w:r w:rsidRPr="00675386">
              <w:rPr>
                <w:sz w:val="23"/>
                <w:szCs w:val="23"/>
              </w:rPr>
              <w:t>5</w:t>
            </w:r>
          </w:p>
        </w:tc>
        <w:tc>
          <w:tcPr>
            <w:tcW w:w="1843" w:type="dxa"/>
            <w:vAlign w:val="center"/>
          </w:tcPr>
          <w:p w14:paraId="06DEC1D0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185</w:t>
            </w:r>
          </w:p>
        </w:tc>
        <w:tc>
          <w:tcPr>
            <w:tcW w:w="1559" w:type="dxa"/>
            <w:vAlign w:val="center"/>
          </w:tcPr>
          <w:p w14:paraId="2ABDEB7B" w14:textId="5E89F0CF" w:rsidR="00725E10" w:rsidRPr="00675386" w:rsidRDefault="00725E10" w:rsidP="00244E73">
            <w:pPr>
              <w:spacing w:before="240" w:after="0" w:line="240" w:lineRule="auto"/>
              <w:jc w:val="center"/>
              <w:rPr>
                <w:i/>
                <w:iCs/>
                <w:sz w:val="23"/>
                <w:szCs w:val="23"/>
              </w:rPr>
            </w:pPr>
            <w:r w:rsidRPr="00675386">
              <w:rPr>
                <w:i/>
                <w:iCs/>
                <w:sz w:val="23"/>
                <w:szCs w:val="23"/>
              </w:rPr>
              <w:t>4</w:t>
            </w:r>
            <w:r w:rsidR="001D41C1" w:rsidRPr="00675386">
              <w:rPr>
                <w:i/>
                <w:iCs/>
                <w:sz w:val="23"/>
                <w:szCs w:val="23"/>
              </w:rPr>
              <w:t>5</w:t>
            </w:r>
          </w:p>
        </w:tc>
      </w:tr>
      <w:tr w:rsidR="00725E10" w:rsidRPr="00244E73" w14:paraId="2B517C01" w14:textId="77777777" w:rsidTr="00244E73">
        <w:trPr>
          <w:trHeight w:val="406"/>
        </w:trPr>
        <w:tc>
          <w:tcPr>
            <w:tcW w:w="1701" w:type="dxa"/>
            <w:vAlign w:val="center"/>
          </w:tcPr>
          <w:p w14:paraId="32BF68E4" w14:textId="77777777" w:rsidR="00725E10" w:rsidRPr="00244E73" w:rsidRDefault="00725E10" w:rsidP="00244E73">
            <w:pPr>
              <w:spacing w:before="240" w:after="0" w:line="240" w:lineRule="auto"/>
              <w:rPr>
                <w:b/>
                <w:bCs/>
                <w:sz w:val="20"/>
                <w:szCs w:val="20"/>
              </w:rPr>
            </w:pPr>
            <w:r w:rsidRPr="00244E73">
              <w:rPr>
                <w:b/>
                <w:bCs/>
                <w:sz w:val="20"/>
                <w:szCs w:val="20"/>
              </w:rPr>
              <w:t>MARCHE</w:t>
            </w:r>
          </w:p>
        </w:tc>
        <w:tc>
          <w:tcPr>
            <w:tcW w:w="2381" w:type="dxa"/>
            <w:vAlign w:val="center"/>
          </w:tcPr>
          <w:p w14:paraId="7427BAFB" w14:textId="787942CA" w:rsidR="00725E10" w:rsidRPr="00675386" w:rsidRDefault="001D41C1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109</w:t>
            </w:r>
          </w:p>
        </w:tc>
        <w:tc>
          <w:tcPr>
            <w:tcW w:w="2297" w:type="dxa"/>
            <w:vAlign w:val="center"/>
          </w:tcPr>
          <w:p w14:paraId="333D2C51" w14:textId="6488B6D2" w:rsidR="00725E10" w:rsidRPr="00675386" w:rsidRDefault="001D41C1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4106</w:t>
            </w:r>
          </w:p>
        </w:tc>
        <w:tc>
          <w:tcPr>
            <w:tcW w:w="1843" w:type="dxa"/>
            <w:vAlign w:val="center"/>
          </w:tcPr>
          <w:p w14:paraId="4CD9E017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469</w:t>
            </w:r>
          </w:p>
        </w:tc>
        <w:tc>
          <w:tcPr>
            <w:tcW w:w="1559" w:type="dxa"/>
            <w:vAlign w:val="center"/>
          </w:tcPr>
          <w:p w14:paraId="5D76A2D4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i/>
                <w:iCs/>
                <w:sz w:val="23"/>
                <w:szCs w:val="23"/>
              </w:rPr>
            </w:pPr>
            <w:r w:rsidRPr="00675386">
              <w:rPr>
                <w:i/>
                <w:iCs/>
                <w:sz w:val="23"/>
                <w:szCs w:val="23"/>
              </w:rPr>
              <w:t>23</w:t>
            </w:r>
          </w:p>
        </w:tc>
      </w:tr>
      <w:tr w:rsidR="00725E10" w:rsidRPr="00244E73" w14:paraId="1B749C66" w14:textId="77777777" w:rsidTr="00244E73">
        <w:trPr>
          <w:trHeight w:val="571"/>
        </w:trPr>
        <w:tc>
          <w:tcPr>
            <w:tcW w:w="1701" w:type="dxa"/>
            <w:vAlign w:val="center"/>
          </w:tcPr>
          <w:p w14:paraId="700EF5CC" w14:textId="77777777" w:rsidR="00725E10" w:rsidRPr="00244E73" w:rsidRDefault="00725E10" w:rsidP="00244E73">
            <w:pPr>
              <w:spacing w:before="240" w:after="0" w:line="240" w:lineRule="auto"/>
              <w:rPr>
                <w:b/>
                <w:bCs/>
                <w:sz w:val="20"/>
                <w:szCs w:val="20"/>
              </w:rPr>
            </w:pPr>
            <w:r w:rsidRPr="00244E73">
              <w:rPr>
                <w:b/>
                <w:bCs/>
                <w:sz w:val="20"/>
                <w:szCs w:val="20"/>
              </w:rPr>
              <w:t>MOLISE</w:t>
            </w:r>
          </w:p>
        </w:tc>
        <w:tc>
          <w:tcPr>
            <w:tcW w:w="2381" w:type="dxa"/>
            <w:vAlign w:val="center"/>
          </w:tcPr>
          <w:p w14:paraId="08F87F3C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23</w:t>
            </w:r>
          </w:p>
        </w:tc>
        <w:tc>
          <w:tcPr>
            <w:tcW w:w="2297" w:type="dxa"/>
            <w:vAlign w:val="center"/>
          </w:tcPr>
          <w:p w14:paraId="4035D878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1017</w:t>
            </w:r>
          </w:p>
        </w:tc>
        <w:tc>
          <w:tcPr>
            <w:tcW w:w="1843" w:type="dxa"/>
            <w:vAlign w:val="center"/>
          </w:tcPr>
          <w:p w14:paraId="6CBE4BDB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25</w:t>
            </w:r>
          </w:p>
        </w:tc>
        <w:tc>
          <w:tcPr>
            <w:tcW w:w="1559" w:type="dxa"/>
            <w:vAlign w:val="center"/>
          </w:tcPr>
          <w:p w14:paraId="5B710FB6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i/>
                <w:iCs/>
                <w:sz w:val="23"/>
                <w:szCs w:val="23"/>
              </w:rPr>
            </w:pPr>
            <w:r w:rsidRPr="00675386">
              <w:rPr>
                <w:i/>
                <w:iCs/>
                <w:sz w:val="23"/>
                <w:szCs w:val="23"/>
              </w:rPr>
              <w:t>92</w:t>
            </w:r>
          </w:p>
        </w:tc>
      </w:tr>
      <w:tr w:rsidR="00725E10" w:rsidRPr="00244E73" w14:paraId="3B1C05A2" w14:textId="77777777" w:rsidTr="00244E73">
        <w:trPr>
          <w:trHeight w:val="565"/>
        </w:trPr>
        <w:tc>
          <w:tcPr>
            <w:tcW w:w="1701" w:type="dxa"/>
            <w:vAlign w:val="center"/>
          </w:tcPr>
          <w:p w14:paraId="63A0C261" w14:textId="77777777" w:rsidR="00725E10" w:rsidRPr="00244E73" w:rsidRDefault="00725E10" w:rsidP="00244E73">
            <w:pPr>
              <w:spacing w:before="240" w:after="0" w:line="240" w:lineRule="auto"/>
              <w:rPr>
                <w:b/>
                <w:bCs/>
                <w:sz w:val="20"/>
                <w:szCs w:val="20"/>
              </w:rPr>
            </w:pPr>
            <w:r w:rsidRPr="00244E73">
              <w:rPr>
                <w:b/>
                <w:bCs/>
                <w:sz w:val="20"/>
                <w:szCs w:val="20"/>
              </w:rPr>
              <w:t>SICILIA</w:t>
            </w:r>
          </w:p>
        </w:tc>
        <w:tc>
          <w:tcPr>
            <w:tcW w:w="2381" w:type="dxa"/>
            <w:vAlign w:val="center"/>
          </w:tcPr>
          <w:p w14:paraId="294DEE76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82</w:t>
            </w:r>
          </w:p>
        </w:tc>
        <w:tc>
          <w:tcPr>
            <w:tcW w:w="2297" w:type="dxa"/>
            <w:vAlign w:val="center"/>
          </w:tcPr>
          <w:p w14:paraId="2DC1FBEF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2603</w:t>
            </w:r>
          </w:p>
        </w:tc>
        <w:tc>
          <w:tcPr>
            <w:tcW w:w="1843" w:type="dxa"/>
            <w:vAlign w:val="center"/>
          </w:tcPr>
          <w:p w14:paraId="05EADC37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161</w:t>
            </w:r>
          </w:p>
        </w:tc>
        <w:tc>
          <w:tcPr>
            <w:tcW w:w="1559" w:type="dxa"/>
            <w:vAlign w:val="center"/>
          </w:tcPr>
          <w:p w14:paraId="1E0EDC09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i/>
                <w:iCs/>
                <w:sz w:val="23"/>
                <w:szCs w:val="23"/>
              </w:rPr>
            </w:pPr>
            <w:r w:rsidRPr="00675386">
              <w:rPr>
                <w:i/>
                <w:iCs/>
                <w:sz w:val="23"/>
                <w:szCs w:val="23"/>
              </w:rPr>
              <w:t>51</w:t>
            </w:r>
          </w:p>
        </w:tc>
      </w:tr>
      <w:tr w:rsidR="00725E10" w:rsidRPr="00244E73" w14:paraId="4CD59D9D" w14:textId="77777777" w:rsidTr="00244E73">
        <w:trPr>
          <w:trHeight w:val="573"/>
        </w:trPr>
        <w:tc>
          <w:tcPr>
            <w:tcW w:w="1701" w:type="dxa"/>
            <w:vAlign w:val="center"/>
          </w:tcPr>
          <w:p w14:paraId="3D10F2D1" w14:textId="77777777" w:rsidR="00725E10" w:rsidRPr="00244E73" w:rsidRDefault="00725E10" w:rsidP="00244E73">
            <w:pPr>
              <w:spacing w:before="240" w:after="0" w:line="240" w:lineRule="auto"/>
              <w:rPr>
                <w:b/>
                <w:bCs/>
                <w:sz w:val="20"/>
                <w:szCs w:val="20"/>
              </w:rPr>
            </w:pPr>
            <w:r w:rsidRPr="00244E73">
              <w:rPr>
                <w:b/>
                <w:bCs/>
                <w:sz w:val="20"/>
                <w:szCs w:val="20"/>
              </w:rPr>
              <w:t>TOSCANA</w:t>
            </w:r>
          </w:p>
        </w:tc>
        <w:tc>
          <w:tcPr>
            <w:tcW w:w="2381" w:type="dxa"/>
            <w:vAlign w:val="center"/>
          </w:tcPr>
          <w:p w14:paraId="4E400308" w14:textId="7443FE4D" w:rsidR="00725E10" w:rsidRPr="00675386" w:rsidRDefault="001D41C1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449</w:t>
            </w:r>
          </w:p>
        </w:tc>
        <w:tc>
          <w:tcPr>
            <w:tcW w:w="2297" w:type="dxa"/>
            <w:vAlign w:val="center"/>
          </w:tcPr>
          <w:p w14:paraId="08C13236" w14:textId="7024E964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16</w:t>
            </w:r>
            <w:r w:rsidR="001D41C1" w:rsidRPr="00675386">
              <w:rPr>
                <w:sz w:val="23"/>
                <w:szCs w:val="23"/>
              </w:rPr>
              <w:t>4</w:t>
            </w:r>
            <w:r w:rsidR="00675386" w:rsidRPr="00675386">
              <w:rPr>
                <w:sz w:val="23"/>
                <w:szCs w:val="23"/>
              </w:rPr>
              <w:t>33</w:t>
            </w:r>
          </w:p>
        </w:tc>
        <w:tc>
          <w:tcPr>
            <w:tcW w:w="1843" w:type="dxa"/>
            <w:vAlign w:val="center"/>
          </w:tcPr>
          <w:p w14:paraId="76AFEF18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616</w:t>
            </w:r>
          </w:p>
        </w:tc>
        <w:tc>
          <w:tcPr>
            <w:tcW w:w="1559" w:type="dxa"/>
            <w:vAlign w:val="center"/>
          </w:tcPr>
          <w:p w14:paraId="567475BC" w14:textId="21083C9B" w:rsidR="00725E10" w:rsidRPr="00675386" w:rsidRDefault="00725E10" w:rsidP="00244E73">
            <w:pPr>
              <w:spacing w:before="240" w:after="0" w:line="240" w:lineRule="auto"/>
              <w:jc w:val="center"/>
              <w:rPr>
                <w:i/>
                <w:iCs/>
                <w:sz w:val="23"/>
                <w:szCs w:val="23"/>
              </w:rPr>
            </w:pPr>
            <w:r w:rsidRPr="00675386">
              <w:rPr>
                <w:i/>
                <w:iCs/>
                <w:sz w:val="23"/>
                <w:szCs w:val="23"/>
              </w:rPr>
              <w:t>7</w:t>
            </w:r>
            <w:r w:rsidR="001D41C1" w:rsidRPr="00675386">
              <w:rPr>
                <w:i/>
                <w:iCs/>
                <w:sz w:val="23"/>
                <w:szCs w:val="23"/>
              </w:rPr>
              <w:t>3</w:t>
            </w:r>
          </w:p>
        </w:tc>
      </w:tr>
      <w:tr w:rsidR="00725E10" w:rsidRPr="00244E73" w14:paraId="7FF9D8FF" w14:textId="77777777" w:rsidTr="00244E73">
        <w:trPr>
          <w:trHeight w:val="425"/>
        </w:trPr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3A0C7497" w14:textId="77777777" w:rsidR="00725E10" w:rsidRPr="00244E73" w:rsidRDefault="00725E10" w:rsidP="00244E73">
            <w:pPr>
              <w:spacing w:before="240" w:after="0" w:line="360" w:lineRule="auto"/>
              <w:rPr>
                <w:b/>
                <w:bCs/>
                <w:sz w:val="20"/>
                <w:szCs w:val="20"/>
              </w:rPr>
            </w:pPr>
            <w:r w:rsidRPr="00244E73">
              <w:rPr>
                <w:b/>
                <w:bCs/>
                <w:sz w:val="20"/>
                <w:szCs w:val="20"/>
              </w:rPr>
              <w:t>VALLE D’AOSTA</w:t>
            </w:r>
          </w:p>
        </w:tc>
        <w:tc>
          <w:tcPr>
            <w:tcW w:w="2381" w:type="dxa"/>
            <w:tcBorders>
              <w:bottom w:val="single" w:sz="12" w:space="0" w:color="auto"/>
            </w:tcBorders>
            <w:vAlign w:val="center"/>
          </w:tcPr>
          <w:p w14:paraId="0AE1958F" w14:textId="4E1DAFF7" w:rsidR="00725E10" w:rsidRPr="00675386" w:rsidRDefault="001D41C1" w:rsidP="00244E73">
            <w:pPr>
              <w:spacing w:before="240" w:after="0" w:line="36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41</w:t>
            </w:r>
          </w:p>
        </w:tc>
        <w:tc>
          <w:tcPr>
            <w:tcW w:w="2297" w:type="dxa"/>
            <w:tcBorders>
              <w:bottom w:val="single" w:sz="12" w:space="0" w:color="auto"/>
            </w:tcBorders>
            <w:vAlign w:val="center"/>
          </w:tcPr>
          <w:p w14:paraId="0B33341E" w14:textId="4F1DCED3" w:rsidR="00725E10" w:rsidRPr="00675386" w:rsidRDefault="00725E10" w:rsidP="00244E73">
            <w:pPr>
              <w:spacing w:before="240" w:after="0" w:line="36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1</w:t>
            </w:r>
            <w:r w:rsidR="001D41C1" w:rsidRPr="00675386">
              <w:rPr>
                <w:sz w:val="23"/>
                <w:szCs w:val="23"/>
              </w:rPr>
              <w:t>201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466319F8" w14:textId="77777777" w:rsidR="00725E10" w:rsidRPr="00675386" w:rsidRDefault="00725E10" w:rsidP="00244E73">
            <w:pPr>
              <w:spacing w:before="240" w:after="0" w:line="360" w:lineRule="auto"/>
              <w:jc w:val="center"/>
              <w:rPr>
                <w:sz w:val="23"/>
                <w:szCs w:val="23"/>
              </w:rPr>
            </w:pPr>
            <w:r w:rsidRPr="00675386">
              <w:rPr>
                <w:sz w:val="23"/>
                <w:szCs w:val="23"/>
              </w:rPr>
              <w:t>50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62E82C56" w14:textId="143A64EB" w:rsidR="00725E10" w:rsidRPr="00675386" w:rsidRDefault="00725E10" w:rsidP="00244E73">
            <w:pPr>
              <w:spacing w:before="240" w:after="0" w:line="360" w:lineRule="auto"/>
              <w:jc w:val="center"/>
              <w:rPr>
                <w:i/>
                <w:iCs/>
                <w:sz w:val="23"/>
                <w:szCs w:val="23"/>
              </w:rPr>
            </w:pPr>
            <w:r w:rsidRPr="00675386">
              <w:rPr>
                <w:i/>
                <w:iCs/>
                <w:sz w:val="23"/>
                <w:szCs w:val="23"/>
              </w:rPr>
              <w:t>8</w:t>
            </w:r>
            <w:r w:rsidR="001D41C1" w:rsidRPr="00675386">
              <w:rPr>
                <w:i/>
                <w:iCs/>
                <w:sz w:val="23"/>
                <w:szCs w:val="23"/>
              </w:rPr>
              <w:t>2</w:t>
            </w:r>
          </w:p>
        </w:tc>
      </w:tr>
      <w:tr w:rsidR="00725E10" w:rsidRPr="00244E73" w14:paraId="460ACCF7" w14:textId="77777777" w:rsidTr="00244E73">
        <w:trPr>
          <w:trHeight w:val="425"/>
        </w:trPr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2F06B536" w14:textId="77777777" w:rsidR="00725E10" w:rsidRPr="00244E73" w:rsidRDefault="00725E10" w:rsidP="00244E73">
            <w:pPr>
              <w:spacing w:before="240" w:after="0" w:line="240" w:lineRule="auto"/>
              <w:rPr>
                <w:b/>
                <w:bCs/>
              </w:rPr>
            </w:pPr>
            <w:r w:rsidRPr="00244E73">
              <w:rPr>
                <w:b/>
                <w:bCs/>
              </w:rPr>
              <w:t>TOTALE</w:t>
            </w:r>
          </w:p>
        </w:tc>
        <w:tc>
          <w:tcPr>
            <w:tcW w:w="2381" w:type="dxa"/>
            <w:tcBorders>
              <w:top w:val="single" w:sz="12" w:space="0" w:color="auto"/>
            </w:tcBorders>
            <w:vAlign w:val="center"/>
          </w:tcPr>
          <w:p w14:paraId="2F6294C9" w14:textId="6C6DD24B" w:rsidR="00725E10" w:rsidRPr="00675386" w:rsidRDefault="001D41C1" w:rsidP="00244E73">
            <w:pPr>
              <w:spacing w:before="240"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75386">
              <w:rPr>
                <w:b/>
                <w:bCs/>
                <w:sz w:val="23"/>
                <w:szCs w:val="23"/>
              </w:rPr>
              <w:t>853</w:t>
            </w:r>
          </w:p>
        </w:tc>
        <w:tc>
          <w:tcPr>
            <w:tcW w:w="2297" w:type="dxa"/>
            <w:tcBorders>
              <w:top w:val="single" w:sz="12" w:space="0" w:color="auto"/>
            </w:tcBorders>
            <w:vAlign w:val="center"/>
          </w:tcPr>
          <w:p w14:paraId="73F2B763" w14:textId="4AB3A25F" w:rsidR="00725E10" w:rsidRPr="00675386" w:rsidRDefault="00725E10" w:rsidP="00244E73">
            <w:pPr>
              <w:spacing w:before="240"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75386">
              <w:rPr>
                <w:b/>
                <w:bCs/>
                <w:sz w:val="23"/>
                <w:szCs w:val="23"/>
              </w:rPr>
              <w:t>31</w:t>
            </w:r>
            <w:r w:rsidR="001D41C1" w:rsidRPr="00675386">
              <w:rPr>
                <w:b/>
                <w:bCs/>
                <w:sz w:val="23"/>
                <w:szCs w:val="23"/>
              </w:rPr>
              <w:t>3</w:t>
            </w:r>
            <w:r w:rsidR="00675386" w:rsidRPr="00675386">
              <w:rPr>
                <w:b/>
                <w:bCs/>
                <w:sz w:val="23"/>
                <w:szCs w:val="23"/>
              </w:rPr>
              <w:t>55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41723F09" w14:textId="77777777" w:rsidR="00725E10" w:rsidRPr="00675386" w:rsidRDefault="00725E10" w:rsidP="00244E73">
            <w:pPr>
              <w:spacing w:before="240"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75386">
              <w:rPr>
                <w:b/>
                <w:bCs/>
                <w:sz w:val="23"/>
                <w:szCs w:val="23"/>
              </w:rPr>
              <w:t>1590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56E90FAA" w14:textId="193A21F8" w:rsidR="00725E10" w:rsidRPr="00675386" w:rsidRDefault="00725E10" w:rsidP="00244E73">
            <w:pPr>
              <w:spacing w:before="240" w:after="0" w:line="240" w:lineRule="auto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 w:rsidRPr="00675386">
              <w:rPr>
                <w:b/>
                <w:bCs/>
                <w:i/>
                <w:iCs/>
                <w:sz w:val="23"/>
                <w:szCs w:val="23"/>
              </w:rPr>
              <w:t>5</w:t>
            </w:r>
            <w:r w:rsidR="00A40ED7" w:rsidRPr="00675386">
              <w:rPr>
                <w:b/>
                <w:bCs/>
                <w:i/>
                <w:iCs/>
                <w:sz w:val="23"/>
                <w:szCs w:val="23"/>
              </w:rPr>
              <w:t>4</w:t>
            </w:r>
          </w:p>
        </w:tc>
      </w:tr>
    </w:tbl>
    <w:p w14:paraId="27660243" w14:textId="41C24348" w:rsidR="00725E10" w:rsidRDefault="00725E10" w:rsidP="00B174B9">
      <w:pPr>
        <w:jc w:val="both"/>
        <w:rPr>
          <w:rFonts w:cs="Calibri"/>
          <w:sz w:val="24"/>
          <w:szCs w:val="24"/>
        </w:rPr>
      </w:pPr>
    </w:p>
    <w:p w14:paraId="4B430BF7" w14:textId="5B7F20C0" w:rsidR="003D0221" w:rsidRDefault="003D0221" w:rsidP="00B174B9">
      <w:pPr>
        <w:jc w:val="both"/>
        <w:rPr>
          <w:rFonts w:cs="Calibri"/>
          <w:sz w:val="24"/>
          <w:szCs w:val="24"/>
        </w:rPr>
      </w:pPr>
      <w:r w:rsidRPr="003D0221">
        <w:rPr>
          <w:rFonts w:cs="Calibri"/>
          <w:sz w:val="24"/>
          <w:szCs w:val="24"/>
        </w:rPr>
        <w:t>I dati oggetto del presente report non includono i dati raccolti e trasmessi dalla Regione Umbria. Nello specifico la Regione</w:t>
      </w:r>
      <w:r w:rsidR="00CD4F96">
        <w:rPr>
          <w:rFonts w:cs="Calibri"/>
          <w:sz w:val="24"/>
          <w:szCs w:val="24"/>
        </w:rPr>
        <w:t xml:space="preserve"> Umbria</w:t>
      </w:r>
      <w:r w:rsidRPr="003D0221">
        <w:rPr>
          <w:rFonts w:cs="Calibri"/>
          <w:sz w:val="24"/>
          <w:szCs w:val="24"/>
        </w:rPr>
        <w:t xml:space="preserve">, nell’ambito del Programma CCM 2020 del Ministero della Salute (capofila Regione Abruzzo), ha attivato una propria piattaforma per la raccolta dei dati di sorveglianza durante l’emergenza COVID-19. Attraverso tale piattaforma sono stati raccolti, su base settimanale, dati da una media di 90 strutture residenziali, consistenti con i dati raccolti dalla piattaforma ISS salvo per la mancanza, da quando esistente, del dato vaccinale. Inoltre, a partire dal mese di Agosto 2022, la Regione </w:t>
      </w:r>
      <w:r w:rsidR="00607FA1">
        <w:rPr>
          <w:rFonts w:cs="Calibri"/>
          <w:sz w:val="24"/>
          <w:szCs w:val="24"/>
        </w:rPr>
        <w:t xml:space="preserve">Umbria </w:t>
      </w:r>
      <w:r w:rsidRPr="003D0221">
        <w:rPr>
          <w:rFonts w:cs="Calibri"/>
          <w:sz w:val="24"/>
          <w:szCs w:val="24"/>
        </w:rPr>
        <w:t>sta regolarmente raccogliendo e caricando sulla piattaforma ISS i dati settimanali</w:t>
      </w:r>
      <w:r w:rsidR="00607FA1">
        <w:rPr>
          <w:rFonts w:cs="Calibri"/>
          <w:sz w:val="24"/>
          <w:szCs w:val="24"/>
        </w:rPr>
        <w:t>,</w:t>
      </w:r>
      <w:r w:rsidRPr="003D0221">
        <w:rPr>
          <w:rFonts w:cs="Calibri"/>
          <w:sz w:val="24"/>
          <w:szCs w:val="24"/>
        </w:rPr>
        <w:t xml:space="preserve"> completi anche di informazioni sullo stato vaccinale. I dati pregressi sono attualmente in fase di verifica: tali dati, insieme ai dati settimanali correnti disponibili da agosto 2022 saranno inclusi nelle future pubblicazioni</w:t>
      </w:r>
      <w:r w:rsidR="00607FA1">
        <w:rPr>
          <w:rFonts w:cs="Calibri"/>
          <w:sz w:val="24"/>
          <w:szCs w:val="24"/>
        </w:rPr>
        <w:t>.</w:t>
      </w:r>
    </w:p>
    <w:p w14:paraId="0F7198B6" w14:textId="77777777" w:rsidR="00725E10" w:rsidRPr="00DE3CE6" w:rsidRDefault="00725E10" w:rsidP="00B174B9">
      <w:pPr>
        <w:jc w:val="both"/>
        <w:rPr>
          <w:rFonts w:cs="Calibri"/>
          <w:sz w:val="28"/>
          <w:szCs w:val="24"/>
        </w:rPr>
      </w:pPr>
      <w:r w:rsidRPr="00DE3CE6">
        <w:rPr>
          <w:rFonts w:cs="Calibri"/>
          <w:b/>
          <w:color w:val="5B9BD5"/>
          <w:sz w:val="28"/>
          <w:szCs w:val="24"/>
        </w:rPr>
        <w:br w:type="page"/>
      </w:r>
      <w:r w:rsidRPr="00DE3CE6">
        <w:rPr>
          <w:rFonts w:cs="Calibri"/>
          <w:b/>
          <w:color w:val="5B9BD5"/>
          <w:sz w:val="28"/>
          <w:szCs w:val="24"/>
        </w:rPr>
        <w:lastRenderedPageBreak/>
        <w:t>Risultati</w:t>
      </w:r>
    </w:p>
    <w:p w14:paraId="7F87C791" w14:textId="3ED93118" w:rsidR="000C4C27" w:rsidRDefault="00725E10" w:rsidP="00924F95">
      <w:pPr>
        <w:jc w:val="both"/>
        <w:rPr>
          <w:rFonts w:cs="Calibri"/>
          <w:sz w:val="24"/>
          <w:szCs w:val="24"/>
        </w:rPr>
      </w:pPr>
      <w:r w:rsidRPr="00675386">
        <w:rPr>
          <w:rFonts w:cs="Calibri"/>
          <w:sz w:val="24"/>
          <w:szCs w:val="24"/>
        </w:rPr>
        <w:t xml:space="preserve">Sono </w:t>
      </w:r>
      <w:r w:rsidR="00A40ED7" w:rsidRPr="00675386">
        <w:rPr>
          <w:rFonts w:cs="Calibri"/>
          <w:sz w:val="24"/>
          <w:szCs w:val="24"/>
        </w:rPr>
        <w:t>853</w:t>
      </w:r>
      <w:r w:rsidRPr="00675386">
        <w:rPr>
          <w:rFonts w:cs="Calibri"/>
          <w:sz w:val="24"/>
          <w:szCs w:val="24"/>
        </w:rPr>
        <w:t xml:space="preserve"> le strutture </w:t>
      </w:r>
      <w:r w:rsidRPr="00207720">
        <w:rPr>
          <w:rFonts w:cs="Calibri"/>
          <w:sz w:val="24"/>
          <w:szCs w:val="24"/>
        </w:rPr>
        <w:t xml:space="preserve">residenziali che </w:t>
      </w:r>
      <w:r w:rsidR="005718C8">
        <w:rPr>
          <w:rFonts w:cs="Calibri"/>
          <w:sz w:val="24"/>
          <w:szCs w:val="24"/>
        </w:rPr>
        <w:t xml:space="preserve">complessivamente </w:t>
      </w:r>
      <w:r w:rsidRPr="00207720">
        <w:rPr>
          <w:rFonts w:cs="Calibri"/>
          <w:sz w:val="24"/>
          <w:szCs w:val="24"/>
        </w:rPr>
        <w:t>hanno partecipato alla sorveglianza dal 2</w:t>
      </w:r>
      <w:r w:rsidR="001A4684">
        <w:rPr>
          <w:rFonts w:cs="Calibri"/>
          <w:sz w:val="24"/>
          <w:szCs w:val="24"/>
        </w:rPr>
        <w:t>1</w:t>
      </w:r>
      <w:r w:rsidRPr="00207720">
        <w:rPr>
          <w:rFonts w:cs="Calibri"/>
          <w:sz w:val="24"/>
          <w:szCs w:val="24"/>
        </w:rPr>
        <w:t xml:space="preserve"> dicembre 2020 al </w:t>
      </w:r>
      <w:r w:rsidR="008D2110">
        <w:rPr>
          <w:rFonts w:cs="Calibri"/>
          <w:sz w:val="24"/>
          <w:szCs w:val="24"/>
        </w:rPr>
        <w:t>18 settembre</w:t>
      </w:r>
      <w:r w:rsidRPr="00207720">
        <w:rPr>
          <w:rFonts w:cs="Calibri"/>
          <w:sz w:val="24"/>
          <w:szCs w:val="24"/>
        </w:rPr>
        <w:t xml:space="preserve"> 2022, </w:t>
      </w:r>
      <w:r w:rsidR="00634CE7">
        <w:rPr>
          <w:rFonts w:cs="Calibri"/>
          <w:sz w:val="24"/>
          <w:szCs w:val="24"/>
        </w:rPr>
        <w:t xml:space="preserve">provenienti da </w:t>
      </w:r>
      <w:r w:rsidR="00A97911">
        <w:rPr>
          <w:rFonts w:cs="Calibri"/>
          <w:sz w:val="24"/>
          <w:szCs w:val="24"/>
        </w:rPr>
        <w:t>7</w:t>
      </w:r>
      <w:r w:rsidR="00634CE7">
        <w:rPr>
          <w:rFonts w:cs="Calibri"/>
          <w:sz w:val="24"/>
          <w:szCs w:val="24"/>
        </w:rPr>
        <w:t xml:space="preserve"> regioni e</w:t>
      </w:r>
      <w:r w:rsidR="00634CE7" w:rsidRPr="00A967EB">
        <w:rPr>
          <w:rFonts w:cs="Calibri"/>
          <w:sz w:val="24"/>
          <w:szCs w:val="24"/>
        </w:rPr>
        <w:t xml:space="preserve"> </w:t>
      </w:r>
      <w:r w:rsidRPr="00207720">
        <w:rPr>
          <w:rFonts w:cs="Calibri"/>
          <w:sz w:val="24"/>
          <w:szCs w:val="24"/>
        </w:rPr>
        <w:t xml:space="preserve">per un totale </w:t>
      </w:r>
      <w:r w:rsidRPr="00675386">
        <w:rPr>
          <w:rFonts w:cs="Calibri"/>
          <w:sz w:val="24"/>
          <w:szCs w:val="24"/>
        </w:rPr>
        <w:t>di 31.</w:t>
      </w:r>
      <w:r w:rsidR="00A40ED7" w:rsidRPr="00675386">
        <w:rPr>
          <w:rFonts w:cs="Calibri"/>
          <w:sz w:val="24"/>
          <w:szCs w:val="24"/>
        </w:rPr>
        <w:t>3</w:t>
      </w:r>
      <w:r w:rsidR="00675386" w:rsidRPr="00675386">
        <w:rPr>
          <w:rFonts w:cs="Calibri"/>
          <w:sz w:val="24"/>
          <w:szCs w:val="24"/>
        </w:rPr>
        <w:t>55</w:t>
      </w:r>
      <w:r w:rsidRPr="00675386">
        <w:rPr>
          <w:rFonts w:cs="Calibri"/>
          <w:sz w:val="24"/>
          <w:szCs w:val="24"/>
        </w:rPr>
        <w:t xml:space="preserve"> </w:t>
      </w:r>
      <w:r w:rsidRPr="00207720">
        <w:rPr>
          <w:rFonts w:cs="Calibri"/>
          <w:sz w:val="24"/>
          <w:szCs w:val="24"/>
        </w:rPr>
        <w:t xml:space="preserve">posti letto disponibili. Di queste, </w:t>
      </w:r>
      <w:r w:rsidRPr="00675386">
        <w:rPr>
          <w:rFonts w:cs="Calibri"/>
          <w:sz w:val="24"/>
          <w:szCs w:val="24"/>
        </w:rPr>
        <w:t>3</w:t>
      </w:r>
      <w:r w:rsidR="00A40ED7" w:rsidRPr="00675386">
        <w:rPr>
          <w:rFonts w:cs="Calibri"/>
          <w:sz w:val="24"/>
          <w:szCs w:val="24"/>
        </w:rPr>
        <w:t>34</w:t>
      </w:r>
      <w:r w:rsidRPr="00675386">
        <w:rPr>
          <w:rFonts w:cs="Calibri"/>
          <w:sz w:val="24"/>
          <w:szCs w:val="24"/>
        </w:rPr>
        <w:t xml:space="preserve"> </w:t>
      </w:r>
      <w:r w:rsidR="000C4C27">
        <w:rPr>
          <w:rFonts w:cs="Calibri"/>
          <w:sz w:val="24"/>
          <w:szCs w:val="24"/>
        </w:rPr>
        <w:t>so</w:t>
      </w:r>
      <w:r w:rsidRPr="00207720">
        <w:rPr>
          <w:rFonts w:cs="Calibri"/>
          <w:sz w:val="24"/>
          <w:szCs w:val="24"/>
        </w:rPr>
        <w:t xml:space="preserve">no strutture residenziali per anziani non autosufficienti, per un totale </w:t>
      </w:r>
      <w:r w:rsidRPr="00675386">
        <w:rPr>
          <w:rFonts w:cs="Calibri"/>
          <w:sz w:val="24"/>
          <w:szCs w:val="24"/>
        </w:rPr>
        <w:t>di 14.</w:t>
      </w:r>
      <w:r w:rsidR="00675386" w:rsidRPr="00675386">
        <w:rPr>
          <w:rFonts w:cs="Calibri"/>
          <w:sz w:val="24"/>
          <w:szCs w:val="24"/>
        </w:rPr>
        <w:t xml:space="preserve">900 </w:t>
      </w:r>
      <w:r w:rsidRPr="00AB0F50">
        <w:rPr>
          <w:rFonts w:cs="Calibri"/>
          <w:sz w:val="24"/>
          <w:szCs w:val="24"/>
        </w:rPr>
        <w:t xml:space="preserve">posti </w:t>
      </w:r>
      <w:r w:rsidRPr="003F6205">
        <w:rPr>
          <w:rFonts w:cs="Calibri"/>
          <w:sz w:val="24"/>
          <w:szCs w:val="24"/>
        </w:rPr>
        <w:t xml:space="preserve">letto. </w:t>
      </w:r>
      <w:r w:rsidRPr="00A611CB">
        <w:rPr>
          <w:rFonts w:cs="Calibri"/>
          <w:sz w:val="24"/>
          <w:szCs w:val="24"/>
        </w:rPr>
        <w:t xml:space="preserve">La </w:t>
      </w:r>
      <w:r w:rsidRPr="00A611CB">
        <w:rPr>
          <w:rFonts w:cs="Calibri"/>
          <w:b/>
          <w:sz w:val="24"/>
          <w:szCs w:val="24"/>
        </w:rPr>
        <w:t>figura 1</w:t>
      </w:r>
      <w:r w:rsidRPr="00A611CB">
        <w:rPr>
          <w:rFonts w:cs="Calibri"/>
          <w:sz w:val="24"/>
          <w:szCs w:val="24"/>
        </w:rPr>
        <w:t xml:space="preserve"> mostra </w:t>
      </w:r>
      <w:r w:rsidR="005718C8">
        <w:rPr>
          <w:rFonts w:cs="Calibri"/>
          <w:sz w:val="24"/>
          <w:szCs w:val="24"/>
          <w:u w:val="single"/>
        </w:rPr>
        <w:t>il numero di</w:t>
      </w:r>
      <w:r w:rsidRPr="005D28C1">
        <w:rPr>
          <w:rFonts w:cs="Calibri"/>
          <w:sz w:val="24"/>
          <w:szCs w:val="24"/>
          <w:u w:val="single"/>
        </w:rPr>
        <w:t xml:space="preserve"> strutture residenziali</w:t>
      </w:r>
      <w:r w:rsidRPr="00A611CB">
        <w:rPr>
          <w:rFonts w:cs="Calibri"/>
          <w:sz w:val="24"/>
          <w:szCs w:val="24"/>
        </w:rPr>
        <w:t xml:space="preserve"> (linea continua) e </w:t>
      </w:r>
      <w:r w:rsidR="005718C8">
        <w:rPr>
          <w:rFonts w:cs="Calibri"/>
          <w:sz w:val="24"/>
          <w:szCs w:val="24"/>
          <w:u w:val="single"/>
        </w:rPr>
        <w:t xml:space="preserve">il numero </w:t>
      </w:r>
      <w:r w:rsidRPr="00A97911">
        <w:rPr>
          <w:rFonts w:cs="Calibri"/>
          <w:sz w:val="24"/>
          <w:szCs w:val="24"/>
          <w:u w:val="single"/>
        </w:rPr>
        <w:t>delle sole strutture</w:t>
      </w:r>
      <w:r w:rsidRPr="00860986">
        <w:rPr>
          <w:rFonts w:cs="Calibri"/>
          <w:sz w:val="24"/>
          <w:szCs w:val="24"/>
          <w:u w:val="single"/>
        </w:rPr>
        <w:t xml:space="preserve"> residenziali per anziani non autosufficienti</w:t>
      </w:r>
      <w:r w:rsidRPr="00A611CB">
        <w:rPr>
          <w:rFonts w:cs="Calibri"/>
          <w:sz w:val="24"/>
          <w:szCs w:val="24"/>
        </w:rPr>
        <w:t xml:space="preserve"> (linea tratteggiata) che settimanalmente hanno inviato i dati al sistema di sorveglianza</w:t>
      </w:r>
      <w:bookmarkStart w:id="0" w:name="_Hlk113977628"/>
      <w:r w:rsidRPr="00A611CB">
        <w:rPr>
          <w:rFonts w:cs="Calibri"/>
          <w:sz w:val="24"/>
          <w:szCs w:val="24"/>
        </w:rPr>
        <w:t>.</w:t>
      </w:r>
      <w:r w:rsidR="00FC2771">
        <w:rPr>
          <w:rFonts w:cs="Calibri"/>
          <w:color w:val="FF0000"/>
          <w:sz w:val="24"/>
          <w:szCs w:val="24"/>
        </w:rPr>
        <w:t xml:space="preserve"> </w:t>
      </w:r>
      <w:r w:rsidR="00FC2771">
        <w:rPr>
          <w:rFonts w:cs="Calibri"/>
          <w:sz w:val="24"/>
          <w:szCs w:val="24"/>
        </w:rPr>
        <w:t xml:space="preserve">Nei primi mesi del 2021 si ha il picco di massima partecipazione, che coincide con 809 strutture complessive e 313 strutture residenziali per anziani non autosufficienti (pari all’incirca al 98% per entrambe le strutture). Nel complesso, durante il 2021 e nei primi mesi del 2022 il numero di strutture partecipanti al monitoraggio resta superiore alle </w:t>
      </w:r>
      <w:r w:rsidR="000C4C27">
        <w:rPr>
          <w:rFonts w:cs="Calibri"/>
          <w:sz w:val="24"/>
          <w:szCs w:val="24"/>
        </w:rPr>
        <w:t xml:space="preserve">700 unità per tutte le strutture residenziali (percentuale di partecipazione superiore all’87%) e alle </w:t>
      </w:r>
      <w:r w:rsidR="00FC2771">
        <w:rPr>
          <w:rFonts w:cs="Calibri"/>
          <w:sz w:val="24"/>
          <w:szCs w:val="24"/>
        </w:rPr>
        <w:t>250 unità per le strutture residenziali per anziani (percentuale di partecipazione superiore all’85%). Le flessioni maggiori delle curve si osservano durante le festività natalizie. Dalla fine di marzo 2022</w:t>
      </w:r>
      <w:r w:rsidR="000C4C27">
        <w:rPr>
          <w:rFonts w:cs="Calibri"/>
          <w:sz w:val="24"/>
          <w:szCs w:val="24"/>
        </w:rPr>
        <w:t xml:space="preserve"> (fine dell’emergenza COVID-19)</w:t>
      </w:r>
      <w:r w:rsidR="00FC2771">
        <w:rPr>
          <w:rFonts w:cs="Calibri"/>
          <w:sz w:val="24"/>
          <w:szCs w:val="24"/>
        </w:rPr>
        <w:t xml:space="preserve"> si assiste ad una diminuzione costante, seppur contenuta, nella partecipazione delle strutture; ad agosto 2022 </w:t>
      </w:r>
      <w:r w:rsidR="00FC2771" w:rsidRPr="005E05B1">
        <w:rPr>
          <w:rFonts w:cs="Calibri"/>
          <w:sz w:val="24"/>
          <w:szCs w:val="24"/>
        </w:rPr>
        <w:t xml:space="preserve">la partecipazione si attesta attorno al </w:t>
      </w:r>
      <w:r w:rsidR="000C4C27">
        <w:rPr>
          <w:rFonts w:cs="Calibri"/>
          <w:sz w:val="24"/>
          <w:szCs w:val="24"/>
        </w:rPr>
        <w:t>7</w:t>
      </w:r>
      <w:r w:rsidR="001B2CFD">
        <w:rPr>
          <w:rFonts w:cs="Calibri"/>
          <w:sz w:val="24"/>
          <w:szCs w:val="24"/>
        </w:rPr>
        <w:t>5</w:t>
      </w:r>
      <w:r w:rsidR="000C4C27">
        <w:rPr>
          <w:rFonts w:cs="Calibri"/>
          <w:sz w:val="24"/>
          <w:szCs w:val="24"/>
        </w:rPr>
        <w:t xml:space="preserve">% in tutte le strutture e al </w:t>
      </w:r>
      <w:r w:rsidR="00FC2771" w:rsidRPr="005E05B1">
        <w:rPr>
          <w:rFonts w:cs="Calibri"/>
          <w:sz w:val="24"/>
          <w:szCs w:val="24"/>
        </w:rPr>
        <w:t>7</w:t>
      </w:r>
      <w:r w:rsidR="001B2CFD">
        <w:rPr>
          <w:rFonts w:cs="Calibri"/>
          <w:sz w:val="24"/>
          <w:szCs w:val="24"/>
        </w:rPr>
        <w:t>2</w:t>
      </w:r>
      <w:r w:rsidR="00FC2771" w:rsidRPr="005E05B1">
        <w:rPr>
          <w:rFonts w:cs="Calibri"/>
          <w:sz w:val="24"/>
          <w:szCs w:val="24"/>
        </w:rPr>
        <w:t>%</w:t>
      </w:r>
      <w:r w:rsidR="00FC2771">
        <w:rPr>
          <w:rFonts w:cs="Calibri"/>
          <w:sz w:val="24"/>
          <w:szCs w:val="24"/>
        </w:rPr>
        <w:t xml:space="preserve"> nelle strutture residenziali per anziani.</w:t>
      </w:r>
      <w:r w:rsidR="000C4C27">
        <w:rPr>
          <w:rFonts w:cs="Calibri"/>
          <w:sz w:val="24"/>
          <w:szCs w:val="24"/>
        </w:rPr>
        <w:t xml:space="preserve"> </w:t>
      </w:r>
    </w:p>
    <w:bookmarkEnd w:id="0"/>
    <w:p w14:paraId="25D01992" w14:textId="23B60BDD" w:rsidR="00725E10" w:rsidRPr="00591090" w:rsidRDefault="00725E10" w:rsidP="00591090">
      <w:pPr>
        <w:jc w:val="both"/>
        <w:rPr>
          <w:rFonts w:cs="Calibri"/>
          <w:i/>
        </w:rPr>
      </w:pPr>
      <w:r w:rsidRPr="00651284">
        <w:rPr>
          <w:rFonts w:cs="Calibri"/>
          <w:b/>
        </w:rPr>
        <w:t>Figura 1.</w:t>
      </w:r>
      <w:r w:rsidRPr="00651284">
        <w:rPr>
          <w:rFonts w:cs="Calibri"/>
        </w:rPr>
        <w:t xml:space="preserve"> </w:t>
      </w:r>
      <w:r w:rsidR="005718C8">
        <w:rPr>
          <w:rFonts w:cs="Calibri"/>
        </w:rPr>
        <w:t>S</w:t>
      </w:r>
      <w:r w:rsidRPr="002345AE">
        <w:rPr>
          <w:rFonts w:cs="Calibri"/>
        </w:rPr>
        <w:t>trutture residenziali che settimanalmente hanno inviato i dati al sistema di sorveglianza</w:t>
      </w:r>
      <w:r w:rsidR="005718C8">
        <w:rPr>
          <w:rFonts w:cs="Calibri"/>
        </w:rPr>
        <w:t xml:space="preserve"> (in numero assoluto)</w:t>
      </w:r>
      <w:r w:rsidR="00741F9E">
        <w:rPr>
          <w:rFonts w:cs="Calibri"/>
        </w:rPr>
        <w:t xml:space="preserve"> </w:t>
      </w:r>
      <w:r w:rsidRPr="002345AE">
        <w:rPr>
          <w:rFonts w:cs="Calibri"/>
        </w:rPr>
        <w:t xml:space="preserve">nel periodo </w:t>
      </w:r>
      <w:r w:rsidRPr="00860986">
        <w:rPr>
          <w:rFonts w:cs="Calibri"/>
        </w:rPr>
        <w:t>2</w:t>
      </w:r>
      <w:r w:rsidR="001A4684">
        <w:rPr>
          <w:rFonts w:cs="Calibri"/>
        </w:rPr>
        <w:t>1</w:t>
      </w:r>
      <w:r w:rsidRPr="00860986">
        <w:rPr>
          <w:rFonts w:cs="Calibri"/>
        </w:rPr>
        <w:t xml:space="preserve"> dicembre 2020 – </w:t>
      </w:r>
      <w:r w:rsidR="008D2110">
        <w:rPr>
          <w:rFonts w:cs="Calibri"/>
        </w:rPr>
        <w:t>18 settembre</w:t>
      </w:r>
      <w:r w:rsidRPr="00860986">
        <w:rPr>
          <w:rFonts w:cs="Calibri"/>
        </w:rPr>
        <w:t xml:space="preserve"> 2022</w:t>
      </w:r>
      <w:r w:rsidRPr="002345AE">
        <w:rPr>
          <w:rFonts w:cs="Calibri"/>
        </w:rPr>
        <w:t>.</w:t>
      </w:r>
      <w:r w:rsidR="005718C8" w:rsidRPr="005718C8">
        <w:rPr>
          <w:rFonts w:cs="Calibri"/>
          <w:i/>
          <w:iCs/>
        </w:rPr>
        <w:t xml:space="preserve"> </w:t>
      </w:r>
      <w:r w:rsidR="005718C8" w:rsidRPr="00290C49">
        <w:rPr>
          <w:rFonts w:cs="Calibri"/>
          <w:i/>
          <w:iCs/>
        </w:rPr>
        <w:t xml:space="preserve">La data sull’asse delle ascisse indica il </w:t>
      </w:r>
      <w:r w:rsidR="00386BA2">
        <w:rPr>
          <w:rFonts w:cs="Calibri"/>
          <w:i/>
          <w:iCs/>
        </w:rPr>
        <w:t>vener</w:t>
      </w:r>
      <w:r w:rsidR="005718C8" w:rsidRPr="00290C49">
        <w:rPr>
          <w:rFonts w:cs="Calibri"/>
          <w:i/>
          <w:iCs/>
        </w:rPr>
        <w:t>dì di ciascuna settimana di monitoraggio</w:t>
      </w:r>
      <w:r w:rsidR="000C4C27">
        <w:rPr>
          <w:rFonts w:cs="Calibri"/>
          <w:i/>
          <w:iCs/>
        </w:rPr>
        <w:t>; per motivi di leggibilità le etichette sono riportate bisettimanalmente</w:t>
      </w:r>
      <w:r w:rsidR="005718C8" w:rsidRPr="00290C49">
        <w:rPr>
          <w:rFonts w:cs="Calibri"/>
          <w:i/>
          <w:iCs/>
        </w:rPr>
        <w:t xml:space="preserve">. </w:t>
      </w:r>
    </w:p>
    <w:p w14:paraId="3B71CF34" w14:textId="1CC38B79" w:rsidR="00725E10" w:rsidRDefault="001238ED" w:rsidP="00591090">
      <w:pPr>
        <w:spacing w:after="0"/>
        <w:jc w:val="center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4E451A60" wp14:editId="1D1279D8">
            <wp:extent cx="6170062" cy="4190400"/>
            <wp:effectExtent l="0" t="0" r="2540" b="63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62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2885" w14:textId="5A080AD8" w:rsidR="00725E10" w:rsidRPr="00B00BA7" w:rsidRDefault="00725E10" w:rsidP="00906D2A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  <w:r w:rsidRPr="00DE3CE6">
        <w:rPr>
          <w:rFonts w:cs="Calibri"/>
          <w:sz w:val="24"/>
          <w:szCs w:val="24"/>
        </w:rPr>
        <w:lastRenderedPageBreak/>
        <w:t xml:space="preserve">La </w:t>
      </w:r>
      <w:r w:rsidRPr="00DE3CE6">
        <w:rPr>
          <w:rFonts w:cs="Calibri"/>
          <w:b/>
          <w:sz w:val="24"/>
          <w:szCs w:val="24"/>
        </w:rPr>
        <w:t>figura 2</w:t>
      </w:r>
      <w:r w:rsidRPr="00DE3CE6">
        <w:rPr>
          <w:rFonts w:cs="Calibri"/>
          <w:sz w:val="24"/>
          <w:szCs w:val="24"/>
        </w:rPr>
        <w:t xml:space="preserve"> mostra il numero di </w:t>
      </w:r>
      <w:r w:rsidRPr="005D28C1">
        <w:rPr>
          <w:rFonts w:cs="Calibri"/>
          <w:sz w:val="24"/>
          <w:szCs w:val="24"/>
          <w:u w:val="single"/>
        </w:rPr>
        <w:t>tamponi eseguiti settimanalmente per 100 residenti</w:t>
      </w:r>
      <w:r w:rsidRPr="00DE3CE6">
        <w:rPr>
          <w:rFonts w:cs="Calibri"/>
          <w:sz w:val="24"/>
          <w:szCs w:val="24"/>
        </w:rPr>
        <w:t xml:space="preserve"> nel periodo analizzato</w:t>
      </w:r>
      <w:r w:rsidR="00E90E3A">
        <w:rPr>
          <w:rFonts w:cs="Calibri"/>
          <w:sz w:val="24"/>
          <w:szCs w:val="24"/>
        </w:rPr>
        <w:t xml:space="preserve">. </w:t>
      </w:r>
      <w:r w:rsidR="00E90E3A" w:rsidRPr="00E90E3A">
        <w:rPr>
          <w:rFonts w:cs="Calibri"/>
          <w:sz w:val="24"/>
          <w:szCs w:val="24"/>
        </w:rPr>
        <w:t>Si segnala che a seguito della pubblicazione della circolare 0000705 dell’08/01/2021 del Ministero della Salute, per tutto il periodo di riferimento sono stati conteggiati in questo indicatore sia i tamponi molecolari che quelli antigenici eseguiti in struttura</w:t>
      </w:r>
      <w:r w:rsidRPr="00DE3CE6">
        <w:rPr>
          <w:rFonts w:cs="Calibri"/>
          <w:sz w:val="24"/>
          <w:szCs w:val="24"/>
        </w:rPr>
        <w:t xml:space="preserve">. </w:t>
      </w:r>
      <w:r w:rsidR="009F7161">
        <w:rPr>
          <w:rFonts w:cs="Calibri"/>
          <w:sz w:val="24"/>
          <w:szCs w:val="24"/>
        </w:rPr>
        <w:t>S</w:t>
      </w:r>
      <w:r w:rsidRPr="00DE3CE6">
        <w:rPr>
          <w:rFonts w:cs="Calibri"/>
          <w:sz w:val="24"/>
          <w:szCs w:val="24"/>
        </w:rPr>
        <w:t>ono conteggiati anche i tamponi eseguiti più volte sullo stesso residente</w:t>
      </w:r>
      <w:r w:rsidRPr="00B00BA7">
        <w:rPr>
          <w:rFonts w:cs="Calibri"/>
          <w:sz w:val="24"/>
          <w:szCs w:val="24"/>
        </w:rPr>
        <w:t xml:space="preserve">. Il numero di tamponi eseguiti, sistematicamente </w:t>
      </w:r>
      <w:bookmarkStart w:id="1" w:name="_Hlk113619779"/>
      <w:r w:rsidRPr="00B00BA7">
        <w:rPr>
          <w:rFonts w:cs="Calibri"/>
          <w:sz w:val="24"/>
          <w:szCs w:val="24"/>
        </w:rPr>
        <w:t xml:space="preserve">più elevato nelle strutture per anziani non autosufficienti, </w:t>
      </w:r>
      <w:bookmarkEnd w:id="1"/>
      <w:r w:rsidRPr="00B00BA7">
        <w:rPr>
          <w:rFonts w:cs="Calibri"/>
          <w:sz w:val="24"/>
          <w:szCs w:val="24"/>
        </w:rPr>
        <w:t xml:space="preserve">si è mantenuto </w:t>
      </w:r>
      <w:r>
        <w:rPr>
          <w:rFonts w:cs="Calibri"/>
          <w:sz w:val="24"/>
          <w:szCs w:val="24"/>
        </w:rPr>
        <w:t xml:space="preserve">sostanzialmente </w:t>
      </w:r>
      <w:r w:rsidRPr="00B00BA7">
        <w:rPr>
          <w:rFonts w:cs="Calibri"/>
          <w:sz w:val="24"/>
          <w:szCs w:val="24"/>
        </w:rPr>
        <w:t xml:space="preserve">stabile </w:t>
      </w:r>
      <w:r>
        <w:rPr>
          <w:rFonts w:cs="Calibri"/>
          <w:sz w:val="24"/>
          <w:szCs w:val="24"/>
        </w:rPr>
        <w:t xml:space="preserve">fino a </w:t>
      </w:r>
      <w:r w:rsidR="003D1141">
        <w:rPr>
          <w:rFonts w:cs="Calibri"/>
          <w:sz w:val="24"/>
          <w:szCs w:val="24"/>
        </w:rPr>
        <w:t xml:space="preserve">settembre </w:t>
      </w:r>
      <w:r>
        <w:rPr>
          <w:rFonts w:cs="Calibri"/>
          <w:sz w:val="24"/>
          <w:szCs w:val="24"/>
        </w:rPr>
        <w:t xml:space="preserve">2021, </w:t>
      </w:r>
      <w:r w:rsidRPr="00B00BA7">
        <w:rPr>
          <w:rFonts w:cs="Calibri"/>
          <w:sz w:val="24"/>
          <w:szCs w:val="24"/>
        </w:rPr>
        <w:t xml:space="preserve">per poi </w:t>
      </w:r>
      <w:r w:rsidR="003D1141">
        <w:rPr>
          <w:rFonts w:cs="Calibri"/>
          <w:sz w:val="24"/>
          <w:szCs w:val="24"/>
        </w:rPr>
        <w:t xml:space="preserve">salire leggermente nel corso </w:t>
      </w:r>
      <w:r>
        <w:rPr>
          <w:rFonts w:cs="Calibri"/>
          <w:sz w:val="24"/>
          <w:szCs w:val="24"/>
        </w:rPr>
        <w:t>del dicembre 2021 in corrispondenza della nuova ondata epidemica</w:t>
      </w:r>
      <w:r w:rsidR="003D1141">
        <w:rPr>
          <w:rFonts w:cs="Calibri"/>
          <w:sz w:val="24"/>
          <w:szCs w:val="24"/>
        </w:rPr>
        <w:t xml:space="preserve"> del periodo</w:t>
      </w:r>
      <w:r w:rsidRPr="00B00BA7">
        <w:rPr>
          <w:rFonts w:cs="Calibri"/>
          <w:sz w:val="24"/>
          <w:szCs w:val="24"/>
        </w:rPr>
        <w:t xml:space="preserve">. Durante il 2021, il numero di tamponi eseguiti settimanalmente si è mantenuto mediamente intorno ai 35 tamponi </w:t>
      </w:r>
      <w:r w:rsidR="003D1141">
        <w:rPr>
          <w:rFonts w:cs="Calibri"/>
          <w:sz w:val="24"/>
          <w:szCs w:val="24"/>
        </w:rPr>
        <w:t xml:space="preserve">settimanali </w:t>
      </w:r>
      <w:r w:rsidRPr="00B00BA7">
        <w:rPr>
          <w:rFonts w:cs="Calibri"/>
          <w:sz w:val="24"/>
          <w:szCs w:val="24"/>
        </w:rPr>
        <w:t>per 100 residenti in tutte le strutture, e intorno ai 40 nelle strutture per anziani non autosufficienti, con una flessione nel periodo estivo</w:t>
      </w:r>
      <w:r>
        <w:rPr>
          <w:rFonts w:cs="Calibri"/>
          <w:sz w:val="24"/>
          <w:szCs w:val="24"/>
        </w:rPr>
        <w:t xml:space="preserve"> </w:t>
      </w:r>
      <w:r w:rsidRPr="00B00BA7">
        <w:rPr>
          <w:rFonts w:cs="Calibri"/>
          <w:sz w:val="24"/>
          <w:szCs w:val="24"/>
        </w:rPr>
        <w:t xml:space="preserve">in entrambi i casi. </w:t>
      </w:r>
      <w:r w:rsidR="003D1141">
        <w:rPr>
          <w:rFonts w:cs="Calibri"/>
          <w:sz w:val="24"/>
          <w:szCs w:val="24"/>
        </w:rPr>
        <w:t xml:space="preserve">Nel corso del 2022 il numero di tamponi eseguiti per 100 residenti </w:t>
      </w:r>
      <w:r w:rsidR="00F9275F">
        <w:rPr>
          <w:rFonts w:cs="Calibri"/>
          <w:sz w:val="24"/>
          <w:szCs w:val="24"/>
        </w:rPr>
        <w:t xml:space="preserve">è </w:t>
      </w:r>
      <w:r w:rsidR="003D1141">
        <w:rPr>
          <w:rFonts w:cs="Calibri"/>
          <w:sz w:val="24"/>
          <w:szCs w:val="24"/>
        </w:rPr>
        <w:t>aumenta</w:t>
      </w:r>
      <w:r w:rsidR="00F9275F">
        <w:rPr>
          <w:rFonts w:cs="Calibri"/>
          <w:sz w:val="24"/>
          <w:szCs w:val="24"/>
        </w:rPr>
        <w:t>to</w:t>
      </w:r>
      <w:r w:rsidR="003D1141">
        <w:rPr>
          <w:rFonts w:cs="Calibri"/>
          <w:sz w:val="24"/>
          <w:szCs w:val="24"/>
        </w:rPr>
        <w:t xml:space="preserve"> sensibilmente, con un picco</w:t>
      </w:r>
      <w:r w:rsidR="00D43A87">
        <w:rPr>
          <w:rFonts w:cs="Calibri"/>
          <w:sz w:val="24"/>
          <w:szCs w:val="24"/>
        </w:rPr>
        <w:t xml:space="preserve"> a marzo</w:t>
      </w:r>
      <w:r w:rsidR="003D1141">
        <w:rPr>
          <w:rFonts w:cs="Calibri"/>
          <w:sz w:val="24"/>
          <w:szCs w:val="24"/>
        </w:rPr>
        <w:t xml:space="preserve"> di </w:t>
      </w:r>
      <w:r w:rsidR="00D43A87">
        <w:rPr>
          <w:rFonts w:cs="Calibri"/>
          <w:sz w:val="24"/>
          <w:szCs w:val="24"/>
        </w:rPr>
        <w:t xml:space="preserve">65 </w:t>
      </w:r>
      <w:r w:rsidR="00D43A87" w:rsidRPr="00B00BA7">
        <w:rPr>
          <w:rFonts w:cs="Calibri"/>
          <w:sz w:val="24"/>
          <w:szCs w:val="24"/>
        </w:rPr>
        <w:t xml:space="preserve">tamponi </w:t>
      </w:r>
      <w:r w:rsidR="00D43A87">
        <w:rPr>
          <w:rFonts w:cs="Calibri"/>
          <w:sz w:val="24"/>
          <w:szCs w:val="24"/>
        </w:rPr>
        <w:t xml:space="preserve">settimanali </w:t>
      </w:r>
      <w:r w:rsidR="00D43A87" w:rsidRPr="00B00BA7">
        <w:rPr>
          <w:rFonts w:cs="Calibri"/>
          <w:sz w:val="24"/>
          <w:szCs w:val="24"/>
        </w:rPr>
        <w:t>per 100 residenti</w:t>
      </w:r>
      <w:r w:rsidR="00D43A87">
        <w:rPr>
          <w:rFonts w:cs="Calibri"/>
          <w:sz w:val="24"/>
          <w:szCs w:val="24"/>
        </w:rPr>
        <w:t xml:space="preserve"> in tutte le strutture e di 75 </w:t>
      </w:r>
      <w:r w:rsidR="00D43A87" w:rsidRPr="00B00BA7">
        <w:rPr>
          <w:rFonts w:cs="Calibri"/>
          <w:sz w:val="24"/>
          <w:szCs w:val="24"/>
        </w:rPr>
        <w:t>nelle strutture per anziani non autosufficienti</w:t>
      </w:r>
      <w:r w:rsidR="00D43A87">
        <w:rPr>
          <w:rFonts w:cs="Calibri"/>
          <w:sz w:val="24"/>
          <w:szCs w:val="24"/>
        </w:rPr>
        <w:t>. Il numero di tamponi eseguiti tende poi a</w:t>
      </w:r>
      <w:r w:rsidR="00A97548">
        <w:rPr>
          <w:rFonts w:cs="Calibri"/>
          <w:sz w:val="24"/>
          <w:szCs w:val="24"/>
        </w:rPr>
        <w:t xml:space="preserve"> </w:t>
      </w:r>
      <w:r w:rsidR="00D43A87">
        <w:rPr>
          <w:rFonts w:cs="Calibri"/>
          <w:sz w:val="24"/>
          <w:szCs w:val="24"/>
        </w:rPr>
        <w:t>diminu</w:t>
      </w:r>
      <w:r w:rsidR="00A97548">
        <w:rPr>
          <w:rFonts w:cs="Calibri"/>
          <w:sz w:val="24"/>
          <w:szCs w:val="24"/>
        </w:rPr>
        <w:t>ire</w:t>
      </w:r>
      <w:r w:rsidR="00D43A87">
        <w:rPr>
          <w:rFonts w:cs="Calibri"/>
          <w:sz w:val="24"/>
          <w:szCs w:val="24"/>
        </w:rPr>
        <w:t xml:space="preserve"> nella primavera 2022, con un successivo nuovo aumento in corrispondenza della nuova ondata epidemica di </w:t>
      </w:r>
      <w:r w:rsidR="00A97548">
        <w:rPr>
          <w:rFonts w:cs="Calibri"/>
          <w:sz w:val="24"/>
          <w:szCs w:val="24"/>
        </w:rPr>
        <w:t>giugno-</w:t>
      </w:r>
      <w:r w:rsidR="00D43A87">
        <w:rPr>
          <w:rFonts w:cs="Calibri"/>
          <w:sz w:val="24"/>
          <w:szCs w:val="24"/>
        </w:rPr>
        <w:t>lugli</w:t>
      </w:r>
      <w:r w:rsidR="00A97548">
        <w:rPr>
          <w:rFonts w:cs="Calibri"/>
          <w:sz w:val="24"/>
          <w:szCs w:val="24"/>
        </w:rPr>
        <w:t>o</w:t>
      </w:r>
      <w:r w:rsidR="00D43A87">
        <w:rPr>
          <w:rFonts w:cs="Calibri"/>
          <w:sz w:val="24"/>
          <w:szCs w:val="24"/>
        </w:rPr>
        <w:t xml:space="preserve"> 2022.</w:t>
      </w:r>
      <w:r w:rsidR="003D1141">
        <w:rPr>
          <w:rFonts w:cs="Calibri"/>
          <w:sz w:val="24"/>
          <w:szCs w:val="24"/>
        </w:rPr>
        <w:t xml:space="preserve"> </w:t>
      </w:r>
      <w:r w:rsidR="00912C11">
        <w:rPr>
          <w:rFonts w:cs="Calibri"/>
          <w:sz w:val="24"/>
          <w:szCs w:val="24"/>
        </w:rPr>
        <w:t>Relativamente alla frequenza di esecuzione dei tamponi, si segnala</w:t>
      </w:r>
      <w:r w:rsidR="00912C11" w:rsidRPr="00912C11">
        <w:rPr>
          <w:rFonts w:cs="Calibri"/>
          <w:sz w:val="24"/>
          <w:szCs w:val="24"/>
        </w:rPr>
        <w:t xml:space="preserve"> che alcune regioni stanno adottando procedure specifiche per la frequenza </w:t>
      </w:r>
      <w:r w:rsidR="00D1258D">
        <w:rPr>
          <w:rFonts w:cs="Calibri"/>
          <w:sz w:val="24"/>
          <w:szCs w:val="24"/>
        </w:rPr>
        <w:t>dello screening sia per residenti che per operatori</w:t>
      </w:r>
      <w:r w:rsidR="00F9275F">
        <w:rPr>
          <w:rFonts w:cs="Calibri"/>
          <w:sz w:val="24"/>
          <w:szCs w:val="24"/>
        </w:rPr>
        <w:t>, spesso basate su controlli quindicinali</w:t>
      </w:r>
      <w:r w:rsidR="00D1258D">
        <w:rPr>
          <w:rFonts w:cs="Calibri"/>
          <w:sz w:val="24"/>
          <w:szCs w:val="24"/>
        </w:rPr>
        <w:t>.</w:t>
      </w:r>
    </w:p>
    <w:p w14:paraId="3BDAFA12" w14:textId="63DBCC63" w:rsidR="00725E10" w:rsidRPr="004B4BCA" w:rsidRDefault="00725E10" w:rsidP="004B4BCA">
      <w:pPr>
        <w:jc w:val="both"/>
        <w:rPr>
          <w:rFonts w:cs="Calibri"/>
          <w:i/>
        </w:rPr>
      </w:pPr>
      <w:r w:rsidRPr="00651284">
        <w:rPr>
          <w:rFonts w:cs="Calibri"/>
          <w:b/>
        </w:rPr>
        <w:t xml:space="preserve">Figura 2. </w:t>
      </w:r>
      <w:r w:rsidRPr="00651284">
        <w:rPr>
          <w:rFonts w:cs="Calibri"/>
        </w:rPr>
        <w:t>Numero di tamponi eseguiti per 100 residenti per settimana di monitoraggio nel periodo</w:t>
      </w:r>
      <w:r w:rsidR="001A4684">
        <w:rPr>
          <w:rFonts w:cs="Calibri"/>
        </w:rPr>
        <w:t xml:space="preserve"> </w:t>
      </w:r>
      <w:r>
        <w:rPr>
          <w:rFonts w:cs="Calibri"/>
        </w:rPr>
        <w:t>2</w:t>
      </w:r>
      <w:r w:rsidR="001A4684">
        <w:rPr>
          <w:rFonts w:cs="Calibri"/>
        </w:rPr>
        <w:t>1</w:t>
      </w:r>
      <w:r>
        <w:rPr>
          <w:rFonts w:cs="Calibri"/>
        </w:rPr>
        <w:t xml:space="preserve"> dicembre 2020 – </w:t>
      </w:r>
      <w:r w:rsidR="008D2110">
        <w:rPr>
          <w:rFonts w:cs="Calibri"/>
        </w:rPr>
        <w:t>18 settembre</w:t>
      </w:r>
      <w:r>
        <w:rPr>
          <w:rFonts w:cs="Calibri"/>
        </w:rPr>
        <w:t xml:space="preserve"> 2022</w:t>
      </w:r>
      <w:r w:rsidRPr="00651284">
        <w:rPr>
          <w:rFonts w:cs="Calibri"/>
        </w:rPr>
        <w:t xml:space="preserve">. </w:t>
      </w:r>
      <w:r w:rsidR="0040004B" w:rsidRPr="00290C49">
        <w:rPr>
          <w:rFonts w:cs="Calibri"/>
          <w:i/>
          <w:iCs/>
        </w:rPr>
        <w:t xml:space="preserve">La data sull’asse delle ascisse indica il </w:t>
      </w:r>
      <w:r w:rsidR="00ED0F07">
        <w:rPr>
          <w:rFonts w:cs="Calibri"/>
          <w:i/>
          <w:iCs/>
        </w:rPr>
        <w:t>vener</w:t>
      </w:r>
      <w:r w:rsidR="00ED0F07" w:rsidRPr="00290C49">
        <w:rPr>
          <w:rFonts w:cs="Calibri"/>
          <w:i/>
          <w:iCs/>
        </w:rPr>
        <w:t>dì</w:t>
      </w:r>
      <w:r w:rsidR="0040004B" w:rsidRPr="00290C49">
        <w:rPr>
          <w:rFonts w:cs="Calibri"/>
          <w:i/>
          <w:iCs/>
        </w:rPr>
        <w:t xml:space="preserve"> di ciascuna settimana di monitoraggio</w:t>
      </w:r>
      <w:r w:rsidR="0040004B">
        <w:rPr>
          <w:rFonts w:cs="Calibri"/>
          <w:i/>
          <w:iCs/>
        </w:rPr>
        <w:t>; per motivi di leggibilità le etichette sono riportate bisettimanalmente</w:t>
      </w:r>
      <w:r w:rsidR="0040004B" w:rsidRPr="00290C49">
        <w:rPr>
          <w:rFonts w:cs="Calibri"/>
          <w:i/>
          <w:iCs/>
        </w:rPr>
        <w:t>.</w:t>
      </w:r>
      <w:r w:rsidR="0040004B">
        <w:rPr>
          <w:rFonts w:cs="Calibri"/>
          <w:i/>
          <w:iCs/>
        </w:rPr>
        <w:t xml:space="preserve"> </w:t>
      </w:r>
    </w:p>
    <w:p w14:paraId="5AB84A25" w14:textId="65E85D30" w:rsidR="00725E10" w:rsidRDefault="007E28A4" w:rsidP="00D43A87">
      <w:pPr>
        <w:spacing w:after="0"/>
        <w:jc w:val="center"/>
        <w:rPr>
          <w:color w:val="808080"/>
          <w:sz w:val="24"/>
          <w:szCs w:val="24"/>
        </w:rPr>
      </w:pPr>
      <w:r>
        <w:rPr>
          <w:noProof/>
        </w:rPr>
        <w:drawing>
          <wp:inline distT="0" distB="0" distL="0" distR="0" wp14:anchorId="363F6DFB" wp14:editId="49675B36">
            <wp:extent cx="5953284" cy="4191000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48" cy="41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1970" w14:textId="77777777" w:rsidR="004D20D5" w:rsidRDefault="004D20D5" w:rsidP="008E763D">
      <w:pPr>
        <w:spacing w:after="0"/>
        <w:jc w:val="both"/>
        <w:rPr>
          <w:color w:val="000000"/>
          <w:sz w:val="24"/>
          <w:szCs w:val="24"/>
        </w:rPr>
      </w:pPr>
    </w:p>
    <w:p w14:paraId="00F944D4" w14:textId="7908E38A" w:rsidR="00725E10" w:rsidRDefault="00725E10" w:rsidP="00C630AD">
      <w:pPr>
        <w:spacing w:after="0"/>
        <w:jc w:val="both"/>
        <w:rPr>
          <w:color w:val="000000"/>
          <w:sz w:val="24"/>
          <w:szCs w:val="24"/>
        </w:rPr>
      </w:pPr>
      <w:r w:rsidRPr="00173480">
        <w:rPr>
          <w:color w:val="000000"/>
          <w:sz w:val="24"/>
          <w:szCs w:val="24"/>
        </w:rPr>
        <w:lastRenderedPageBreak/>
        <w:t xml:space="preserve">La </w:t>
      </w:r>
      <w:r w:rsidRPr="00173480">
        <w:rPr>
          <w:b/>
          <w:color w:val="000000"/>
          <w:sz w:val="24"/>
          <w:szCs w:val="24"/>
        </w:rPr>
        <w:t>figura 3</w:t>
      </w:r>
      <w:r w:rsidR="009C4F5E">
        <w:rPr>
          <w:b/>
          <w:color w:val="000000"/>
          <w:sz w:val="24"/>
          <w:szCs w:val="24"/>
        </w:rPr>
        <w:t>a</w:t>
      </w:r>
      <w:r w:rsidRPr="00173480">
        <w:rPr>
          <w:color w:val="000000"/>
          <w:sz w:val="24"/>
          <w:szCs w:val="24"/>
        </w:rPr>
        <w:t xml:space="preserve"> mostra </w:t>
      </w:r>
      <w:r w:rsidRPr="005D28C1">
        <w:rPr>
          <w:color w:val="000000"/>
          <w:sz w:val="24"/>
          <w:szCs w:val="24"/>
          <w:u w:val="single"/>
        </w:rPr>
        <w:t>l’incidenza settimanale di residenti SARS-CoV-2 positivi</w:t>
      </w:r>
      <w:r w:rsidRPr="00173480">
        <w:rPr>
          <w:color w:val="000000"/>
          <w:sz w:val="24"/>
          <w:szCs w:val="24"/>
        </w:rPr>
        <w:t xml:space="preserve"> nelle strutture partecipanti (numero di nuovi casi diagnosticati settimanalmente/numero di residenti presenti in struttura nella settimana) e</w:t>
      </w:r>
      <w:r w:rsidR="009C4F5E">
        <w:rPr>
          <w:color w:val="000000"/>
          <w:sz w:val="24"/>
          <w:szCs w:val="24"/>
        </w:rPr>
        <w:t xml:space="preserve"> la </w:t>
      </w:r>
      <w:r w:rsidR="009C4F5E" w:rsidRPr="009C4F5E">
        <w:rPr>
          <w:b/>
          <w:color w:val="000000"/>
          <w:sz w:val="24"/>
          <w:szCs w:val="24"/>
        </w:rPr>
        <w:t>figura 3b</w:t>
      </w:r>
      <w:r w:rsidR="009C4F5E">
        <w:rPr>
          <w:color w:val="000000"/>
          <w:sz w:val="24"/>
          <w:szCs w:val="24"/>
        </w:rPr>
        <w:t xml:space="preserve"> riporta</w:t>
      </w:r>
      <w:r w:rsidRPr="00173480">
        <w:rPr>
          <w:color w:val="000000"/>
          <w:sz w:val="24"/>
          <w:szCs w:val="24"/>
        </w:rPr>
        <w:t xml:space="preserve"> l’andamento complessivo dei casi di SARS-CoV-2 positivi nella popolazione generale delle Regioni </w:t>
      </w:r>
      <w:r w:rsidR="00A97548">
        <w:rPr>
          <w:color w:val="000000"/>
          <w:sz w:val="24"/>
          <w:szCs w:val="24"/>
        </w:rPr>
        <w:t>partecipanti</w:t>
      </w:r>
      <w:r w:rsidRPr="00173480">
        <w:rPr>
          <w:color w:val="000000"/>
          <w:sz w:val="24"/>
          <w:szCs w:val="24"/>
        </w:rPr>
        <w:t xml:space="preserve"> alla Sorveglianza. </w:t>
      </w:r>
      <w:r w:rsidR="000F0395">
        <w:rPr>
          <w:color w:val="000000"/>
          <w:sz w:val="24"/>
          <w:szCs w:val="24"/>
        </w:rPr>
        <w:t xml:space="preserve">Nelle strutture residenziali, durante il 2021 l’incidenza </w:t>
      </w:r>
      <w:r w:rsidR="000F0395" w:rsidRPr="00173480">
        <w:rPr>
          <w:color w:val="000000"/>
          <w:sz w:val="24"/>
          <w:szCs w:val="24"/>
        </w:rPr>
        <w:t>di nuovi casi SARS-CoV-2 positivi</w:t>
      </w:r>
      <w:r w:rsidR="000F0395">
        <w:rPr>
          <w:color w:val="000000"/>
          <w:sz w:val="24"/>
          <w:szCs w:val="24"/>
        </w:rPr>
        <w:t xml:space="preserve"> è più elevata ad inizio anno rispetto alla popolazione generale, </w:t>
      </w:r>
      <w:r w:rsidR="00DC6C81">
        <w:rPr>
          <w:color w:val="000000"/>
          <w:sz w:val="24"/>
          <w:szCs w:val="24"/>
        </w:rPr>
        <w:t xml:space="preserve">e a gennaio 2021 è pari all’1,5% </w:t>
      </w:r>
      <w:r w:rsidR="000F0395">
        <w:rPr>
          <w:color w:val="000000"/>
          <w:sz w:val="24"/>
          <w:szCs w:val="24"/>
        </w:rPr>
        <w:t xml:space="preserve">nell’insieme delle strutture esaminate. Da fine febbraio </w:t>
      </w:r>
      <w:r w:rsidR="000F0395" w:rsidRPr="00173480">
        <w:rPr>
          <w:color w:val="000000"/>
          <w:sz w:val="24"/>
          <w:szCs w:val="24"/>
        </w:rPr>
        <w:t>si osserva un calo costante e marcato dei nuovi casi</w:t>
      </w:r>
      <w:r w:rsidR="000F0395">
        <w:rPr>
          <w:color w:val="000000"/>
          <w:sz w:val="24"/>
          <w:szCs w:val="24"/>
        </w:rPr>
        <w:t xml:space="preserve">, con anche </w:t>
      </w:r>
      <w:r w:rsidR="000F0395" w:rsidRPr="00173480">
        <w:rPr>
          <w:color w:val="000000"/>
          <w:sz w:val="24"/>
          <w:szCs w:val="24"/>
        </w:rPr>
        <w:t>valori prossimi allo 0,01%</w:t>
      </w:r>
      <w:r w:rsidR="00B81926">
        <w:rPr>
          <w:color w:val="000000"/>
          <w:sz w:val="24"/>
          <w:szCs w:val="24"/>
        </w:rPr>
        <w:t xml:space="preserve"> nelle strutture partecipanti e inferiori ai 2000 casi totali nella popolazione generale </w:t>
      </w:r>
      <w:r w:rsidR="000F0395" w:rsidRPr="00173480">
        <w:rPr>
          <w:color w:val="000000"/>
          <w:sz w:val="24"/>
          <w:szCs w:val="24"/>
        </w:rPr>
        <w:t>nei mesi di maggio e giugno 2021</w:t>
      </w:r>
      <w:r w:rsidR="000F0395">
        <w:rPr>
          <w:color w:val="000000"/>
          <w:sz w:val="24"/>
          <w:szCs w:val="24"/>
        </w:rPr>
        <w:t>. Dal</w:t>
      </w:r>
      <w:r w:rsidR="000F0395" w:rsidRPr="00CC1BE9">
        <w:rPr>
          <w:color w:val="000000"/>
          <w:sz w:val="24"/>
          <w:szCs w:val="24"/>
        </w:rPr>
        <w:t xml:space="preserve"> dicembre </w:t>
      </w:r>
      <w:r w:rsidR="000F0395">
        <w:rPr>
          <w:color w:val="000000"/>
          <w:sz w:val="24"/>
          <w:szCs w:val="24"/>
        </w:rPr>
        <w:t xml:space="preserve">2021 e durante l’inizio del 2022 vi è </w:t>
      </w:r>
      <w:r w:rsidR="000F0395" w:rsidRPr="00CC1BE9">
        <w:rPr>
          <w:color w:val="000000"/>
          <w:sz w:val="24"/>
          <w:szCs w:val="24"/>
        </w:rPr>
        <w:t>un aumento marcato dell’incidenza dei contagi</w:t>
      </w:r>
      <w:r w:rsidR="00B81926">
        <w:rPr>
          <w:color w:val="000000"/>
          <w:sz w:val="24"/>
          <w:szCs w:val="24"/>
        </w:rPr>
        <w:t xml:space="preserve">; </w:t>
      </w:r>
      <w:r w:rsidR="000825A2">
        <w:rPr>
          <w:color w:val="000000"/>
          <w:sz w:val="24"/>
          <w:szCs w:val="24"/>
        </w:rPr>
        <w:t xml:space="preserve">a gennaio 2022 </w:t>
      </w:r>
      <w:r w:rsidR="00B81926">
        <w:rPr>
          <w:color w:val="000000"/>
          <w:sz w:val="24"/>
          <w:szCs w:val="24"/>
        </w:rPr>
        <w:t>si raggiunge il</w:t>
      </w:r>
      <w:r w:rsidR="000F0395">
        <w:rPr>
          <w:color w:val="000000"/>
          <w:sz w:val="24"/>
          <w:szCs w:val="24"/>
        </w:rPr>
        <w:t xml:space="preserve"> 7%</w:t>
      </w:r>
      <w:r w:rsidR="000F0395" w:rsidRPr="00CC1BE9">
        <w:rPr>
          <w:color w:val="000000"/>
          <w:sz w:val="24"/>
          <w:szCs w:val="24"/>
        </w:rPr>
        <w:t xml:space="preserve"> di nuovi casi settimana</w:t>
      </w:r>
      <w:r w:rsidR="000F0395">
        <w:rPr>
          <w:color w:val="000000"/>
          <w:sz w:val="24"/>
          <w:szCs w:val="24"/>
        </w:rPr>
        <w:t>li</w:t>
      </w:r>
      <w:r w:rsidR="000F0395" w:rsidRPr="00CC1BE9">
        <w:rPr>
          <w:color w:val="000000"/>
          <w:sz w:val="24"/>
          <w:szCs w:val="24"/>
        </w:rPr>
        <w:t xml:space="preserve"> nelle strutture per anziani e</w:t>
      </w:r>
      <w:r w:rsidR="000F0395">
        <w:rPr>
          <w:color w:val="000000"/>
          <w:sz w:val="24"/>
          <w:szCs w:val="24"/>
        </w:rPr>
        <w:t xml:space="preserve"> </w:t>
      </w:r>
      <w:r w:rsidR="00B81926">
        <w:rPr>
          <w:color w:val="000000"/>
          <w:sz w:val="24"/>
          <w:szCs w:val="24"/>
        </w:rPr>
        <w:t>i</w:t>
      </w:r>
      <w:r w:rsidR="000F0395">
        <w:rPr>
          <w:color w:val="000000"/>
          <w:sz w:val="24"/>
          <w:szCs w:val="24"/>
        </w:rPr>
        <w:t>l 5</w:t>
      </w:r>
      <w:r w:rsidR="000F0395" w:rsidRPr="00CC1BE9">
        <w:rPr>
          <w:color w:val="000000"/>
          <w:sz w:val="24"/>
          <w:szCs w:val="24"/>
        </w:rPr>
        <w:t>% nel totale delle strutture</w:t>
      </w:r>
      <w:r w:rsidR="000F0395" w:rsidRPr="00173480">
        <w:rPr>
          <w:color w:val="000000"/>
          <w:sz w:val="24"/>
          <w:szCs w:val="24"/>
        </w:rPr>
        <w:t xml:space="preserve"> residenziali</w:t>
      </w:r>
      <w:r w:rsidR="00C62E45">
        <w:rPr>
          <w:color w:val="000000"/>
          <w:sz w:val="24"/>
          <w:szCs w:val="24"/>
        </w:rPr>
        <w:t xml:space="preserve">, mentre nella popolazione generale si </w:t>
      </w:r>
      <w:r w:rsidR="000825A2">
        <w:rPr>
          <w:color w:val="000000"/>
          <w:sz w:val="24"/>
          <w:szCs w:val="24"/>
        </w:rPr>
        <w:t xml:space="preserve">osserva un picco di </w:t>
      </w:r>
      <w:r w:rsidR="00C62E45">
        <w:rPr>
          <w:color w:val="000000"/>
          <w:sz w:val="24"/>
          <w:szCs w:val="24"/>
        </w:rPr>
        <w:t>300.000 casi</w:t>
      </w:r>
      <w:r w:rsidR="000F0395" w:rsidRPr="00173480">
        <w:rPr>
          <w:color w:val="000000"/>
          <w:sz w:val="24"/>
          <w:szCs w:val="24"/>
        </w:rPr>
        <w:t>.</w:t>
      </w:r>
      <w:r w:rsidR="000F0395">
        <w:rPr>
          <w:color w:val="000000"/>
          <w:sz w:val="24"/>
          <w:szCs w:val="24"/>
        </w:rPr>
        <w:t xml:space="preserve"> Un ulteriore picco, sebbene più basso, avviene a marzo 2022 con un’incidenza pari, rispettivamente, al 4</w:t>
      </w:r>
      <w:r w:rsidR="00FD23E3">
        <w:rPr>
          <w:color w:val="000000"/>
          <w:sz w:val="24"/>
          <w:szCs w:val="24"/>
        </w:rPr>
        <w:t>,</w:t>
      </w:r>
      <w:r w:rsidR="000F0395">
        <w:rPr>
          <w:color w:val="000000"/>
          <w:sz w:val="24"/>
          <w:szCs w:val="24"/>
        </w:rPr>
        <w:t xml:space="preserve">5% e </w:t>
      </w:r>
      <w:r w:rsidR="00562D6F">
        <w:rPr>
          <w:color w:val="000000"/>
          <w:sz w:val="24"/>
          <w:szCs w:val="24"/>
        </w:rPr>
        <w:t xml:space="preserve">al </w:t>
      </w:r>
      <w:r w:rsidR="000F0395">
        <w:rPr>
          <w:color w:val="000000"/>
          <w:sz w:val="24"/>
          <w:szCs w:val="24"/>
        </w:rPr>
        <w:t>4%</w:t>
      </w:r>
      <w:r w:rsidR="00562D6F">
        <w:rPr>
          <w:color w:val="000000"/>
          <w:sz w:val="24"/>
          <w:szCs w:val="24"/>
        </w:rPr>
        <w:t>,</w:t>
      </w:r>
      <w:r w:rsidR="00C62E45">
        <w:rPr>
          <w:color w:val="000000"/>
          <w:sz w:val="24"/>
          <w:szCs w:val="24"/>
        </w:rPr>
        <w:t xml:space="preserve"> e </w:t>
      </w:r>
      <w:r w:rsidR="00562D6F">
        <w:rPr>
          <w:color w:val="000000"/>
          <w:sz w:val="24"/>
          <w:szCs w:val="24"/>
        </w:rPr>
        <w:t>con circa</w:t>
      </w:r>
      <w:r w:rsidR="00C62E45">
        <w:rPr>
          <w:color w:val="000000"/>
          <w:sz w:val="24"/>
          <w:szCs w:val="24"/>
        </w:rPr>
        <w:t xml:space="preserve"> 170.000 casi nella popolazione generale</w:t>
      </w:r>
      <w:r w:rsidR="000F0395">
        <w:rPr>
          <w:color w:val="000000"/>
          <w:sz w:val="24"/>
          <w:szCs w:val="24"/>
        </w:rPr>
        <w:t>. In seguito si osserva un calo dei nuovi casi</w:t>
      </w:r>
      <w:r w:rsidR="00C62E45">
        <w:rPr>
          <w:color w:val="000000"/>
          <w:sz w:val="24"/>
          <w:szCs w:val="24"/>
        </w:rPr>
        <w:t xml:space="preserve"> nelle strutture</w:t>
      </w:r>
      <w:r w:rsidR="000F0395">
        <w:rPr>
          <w:color w:val="000000"/>
          <w:sz w:val="24"/>
          <w:szCs w:val="24"/>
        </w:rPr>
        <w:t>, con valori prossimi allo 0</w:t>
      </w:r>
      <w:r w:rsidR="00FD23E3">
        <w:rPr>
          <w:color w:val="000000"/>
          <w:sz w:val="24"/>
          <w:szCs w:val="24"/>
        </w:rPr>
        <w:t>,</w:t>
      </w:r>
      <w:r w:rsidR="000F0395">
        <w:rPr>
          <w:color w:val="000000"/>
          <w:sz w:val="24"/>
          <w:szCs w:val="24"/>
        </w:rPr>
        <w:t>3% a inizio giugno</w:t>
      </w:r>
      <w:r w:rsidR="00C62E45">
        <w:rPr>
          <w:color w:val="000000"/>
          <w:sz w:val="24"/>
          <w:szCs w:val="24"/>
        </w:rPr>
        <w:t>,</w:t>
      </w:r>
      <w:r w:rsidR="000F0395">
        <w:rPr>
          <w:color w:val="000000"/>
          <w:sz w:val="24"/>
          <w:szCs w:val="24"/>
        </w:rPr>
        <w:t xml:space="preserve"> cui segue un nuovo aumento con un picco relativo a luglio 2022 di 1</w:t>
      </w:r>
      <w:r w:rsidR="00FD23E3">
        <w:rPr>
          <w:color w:val="000000"/>
          <w:sz w:val="24"/>
          <w:szCs w:val="24"/>
        </w:rPr>
        <w:t>,</w:t>
      </w:r>
      <w:r w:rsidR="000F0395">
        <w:rPr>
          <w:color w:val="000000"/>
          <w:sz w:val="24"/>
          <w:szCs w:val="24"/>
        </w:rPr>
        <w:t xml:space="preserve">6% </w:t>
      </w:r>
      <w:r w:rsidR="000F0395" w:rsidRPr="00CC1BE9">
        <w:rPr>
          <w:color w:val="000000"/>
          <w:sz w:val="24"/>
          <w:szCs w:val="24"/>
        </w:rPr>
        <w:t>nelle strutture per anziani non autosufficienti e</w:t>
      </w:r>
      <w:r w:rsidR="000F0395">
        <w:rPr>
          <w:color w:val="000000"/>
          <w:sz w:val="24"/>
          <w:szCs w:val="24"/>
        </w:rPr>
        <w:t xml:space="preserve"> d</w:t>
      </w:r>
      <w:r w:rsidR="009E1C0A">
        <w:rPr>
          <w:color w:val="000000"/>
          <w:sz w:val="24"/>
          <w:szCs w:val="24"/>
        </w:rPr>
        <w:t>el</w:t>
      </w:r>
      <w:r w:rsidR="000F0395">
        <w:rPr>
          <w:color w:val="000000"/>
          <w:sz w:val="24"/>
          <w:szCs w:val="24"/>
        </w:rPr>
        <w:t xml:space="preserve"> 2</w:t>
      </w:r>
      <w:r w:rsidR="000F0395" w:rsidRPr="00CC1BE9">
        <w:rPr>
          <w:color w:val="000000"/>
          <w:sz w:val="24"/>
          <w:szCs w:val="24"/>
        </w:rPr>
        <w:t>% nel totale delle strutture</w:t>
      </w:r>
      <w:r w:rsidR="000F0395" w:rsidRPr="00173480">
        <w:rPr>
          <w:color w:val="000000"/>
          <w:sz w:val="24"/>
          <w:szCs w:val="24"/>
        </w:rPr>
        <w:t xml:space="preserve"> residenziali</w:t>
      </w:r>
      <w:r w:rsidR="000F0395">
        <w:rPr>
          <w:color w:val="000000"/>
          <w:sz w:val="24"/>
          <w:szCs w:val="24"/>
        </w:rPr>
        <w:t>.</w:t>
      </w:r>
      <w:r w:rsidR="00E4005C">
        <w:rPr>
          <w:color w:val="000000"/>
          <w:sz w:val="24"/>
          <w:szCs w:val="24"/>
        </w:rPr>
        <w:t xml:space="preserve"> </w:t>
      </w:r>
      <w:r w:rsidR="00CD4F96">
        <w:rPr>
          <w:color w:val="000000"/>
          <w:sz w:val="24"/>
          <w:szCs w:val="24"/>
        </w:rPr>
        <w:t>Tale picco è seguito da una deflessione nel numero di nuovi casi a partire da agosto 2022.</w:t>
      </w:r>
      <w:r w:rsidR="00C62E45">
        <w:rPr>
          <w:color w:val="000000"/>
          <w:sz w:val="24"/>
          <w:szCs w:val="24"/>
        </w:rPr>
        <w:t xml:space="preserve"> </w:t>
      </w:r>
      <w:r w:rsidR="00E95DA2">
        <w:rPr>
          <w:color w:val="000000"/>
          <w:sz w:val="24"/>
          <w:szCs w:val="24"/>
        </w:rPr>
        <w:t xml:space="preserve">Nel medesimo periodo si osserva un andamento simile anche nella popolazione generale: dopo </w:t>
      </w:r>
      <w:r w:rsidR="00C62E45">
        <w:rPr>
          <w:color w:val="000000"/>
          <w:sz w:val="24"/>
          <w:szCs w:val="24"/>
        </w:rPr>
        <w:t xml:space="preserve">una iniziale diminuzione dei contagi </w:t>
      </w:r>
      <w:r w:rsidR="00E95DA2">
        <w:rPr>
          <w:color w:val="000000"/>
          <w:sz w:val="24"/>
          <w:szCs w:val="24"/>
        </w:rPr>
        <w:t>(meno di 40.000 nuovi casi ad inizio giugno), è presente un nuovo picco a luglio 2022 pari a circa 255.000 nuovi casi.</w:t>
      </w:r>
    </w:p>
    <w:p w14:paraId="07682051" w14:textId="77777777" w:rsidR="0092038C" w:rsidRPr="00470FC1" w:rsidRDefault="0092038C" w:rsidP="00C630AD">
      <w:pPr>
        <w:spacing w:after="0"/>
        <w:jc w:val="both"/>
      </w:pPr>
    </w:p>
    <w:p w14:paraId="75D21D21" w14:textId="72046843" w:rsidR="00725E10" w:rsidRDefault="00725E10" w:rsidP="00027021">
      <w:pPr>
        <w:rPr>
          <w:rFonts w:cs="Calibri"/>
          <w:i/>
        </w:rPr>
      </w:pPr>
      <w:r w:rsidRPr="00651284">
        <w:rPr>
          <w:b/>
        </w:rPr>
        <w:t>Figura 3</w:t>
      </w:r>
      <w:r w:rsidR="009C4F5E">
        <w:rPr>
          <w:b/>
        </w:rPr>
        <w:t>a</w:t>
      </w:r>
      <w:r w:rsidRPr="00651284">
        <w:rPr>
          <w:b/>
        </w:rPr>
        <w:t xml:space="preserve">. </w:t>
      </w:r>
      <w:r w:rsidRPr="00591113">
        <w:t>Incidenza settimanale di residenti SARS-CoV-2 positivi nel periodo</w:t>
      </w:r>
      <w:r w:rsidR="00B25B3D">
        <w:t xml:space="preserve"> </w:t>
      </w:r>
      <w:r w:rsidRPr="00591113">
        <w:t>2</w:t>
      </w:r>
      <w:r w:rsidR="001A4684">
        <w:t>1</w:t>
      </w:r>
      <w:r w:rsidRPr="00591113">
        <w:t xml:space="preserve"> dicembre 2020 – </w:t>
      </w:r>
      <w:r w:rsidR="008D2110">
        <w:t>18 settembre</w:t>
      </w:r>
      <w:r w:rsidRPr="00591113">
        <w:t xml:space="preserve"> 2022. </w:t>
      </w:r>
      <w:r w:rsidR="009E1C0A" w:rsidRPr="00290C49">
        <w:rPr>
          <w:rFonts w:cs="Calibri"/>
          <w:i/>
          <w:iCs/>
        </w:rPr>
        <w:t>La data sull’asse delle ascisse indica il</w:t>
      </w:r>
      <w:r w:rsidR="00ED0F07" w:rsidRPr="00ED0F07">
        <w:rPr>
          <w:rFonts w:cs="Calibri"/>
          <w:i/>
          <w:iCs/>
        </w:rPr>
        <w:t xml:space="preserve"> </w:t>
      </w:r>
      <w:r w:rsidR="00ED0F07">
        <w:rPr>
          <w:rFonts w:cs="Calibri"/>
          <w:i/>
          <w:iCs/>
        </w:rPr>
        <w:t>vener</w:t>
      </w:r>
      <w:r w:rsidR="00ED0F07" w:rsidRPr="00290C49">
        <w:rPr>
          <w:rFonts w:cs="Calibri"/>
          <w:i/>
          <w:iCs/>
        </w:rPr>
        <w:t xml:space="preserve">dì </w:t>
      </w:r>
      <w:r w:rsidR="009E1C0A" w:rsidRPr="00290C49">
        <w:rPr>
          <w:rFonts w:cs="Calibri"/>
          <w:i/>
          <w:iCs/>
        </w:rPr>
        <w:t>di ciascuna settimana di monitoraggio</w:t>
      </w:r>
      <w:r w:rsidR="009E1C0A">
        <w:rPr>
          <w:rFonts w:cs="Calibri"/>
          <w:i/>
          <w:iCs/>
        </w:rPr>
        <w:t>; per motivi di leggibilità le etichette sono riportate bisettimanalmente</w:t>
      </w:r>
      <w:r w:rsidR="009E1C0A" w:rsidRPr="00290C49">
        <w:rPr>
          <w:rFonts w:cs="Calibri"/>
          <w:i/>
          <w:iCs/>
        </w:rPr>
        <w:t>.</w:t>
      </w:r>
      <w:r>
        <w:t xml:space="preserve"> </w:t>
      </w:r>
    </w:p>
    <w:p w14:paraId="18B469F6" w14:textId="7F1F4959" w:rsidR="00725E10" w:rsidRDefault="007E28A4" w:rsidP="00172694">
      <w:pPr>
        <w:tabs>
          <w:tab w:val="left" w:pos="5954"/>
        </w:tabs>
        <w:spacing w:after="0"/>
        <w:jc w:val="center"/>
      </w:pPr>
      <w:r>
        <w:rPr>
          <w:noProof/>
        </w:rPr>
        <w:drawing>
          <wp:inline distT="0" distB="0" distL="0" distR="0" wp14:anchorId="79FCC7AA" wp14:editId="2B94A48F">
            <wp:extent cx="5803549" cy="3996267"/>
            <wp:effectExtent l="0" t="0" r="6985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41" cy="40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0916" w14:textId="3C11C8FB" w:rsidR="009C4F5E" w:rsidRDefault="009C4F5E" w:rsidP="00DE1CEA">
      <w:pPr>
        <w:rPr>
          <w:rFonts w:cs="Calibri"/>
          <w:i/>
        </w:rPr>
      </w:pPr>
      <w:r w:rsidRPr="00651284">
        <w:rPr>
          <w:b/>
        </w:rPr>
        <w:lastRenderedPageBreak/>
        <w:t>Figura 3</w:t>
      </w:r>
      <w:r>
        <w:rPr>
          <w:b/>
        </w:rPr>
        <w:t>b</w:t>
      </w:r>
      <w:r w:rsidRPr="00651284">
        <w:rPr>
          <w:b/>
        </w:rPr>
        <w:t xml:space="preserve">. </w:t>
      </w:r>
      <w:r>
        <w:t>Numero</w:t>
      </w:r>
      <w:r w:rsidRPr="00591113">
        <w:t xml:space="preserve"> </w:t>
      </w:r>
      <w:r>
        <w:t xml:space="preserve">assoluto </w:t>
      </w:r>
      <w:r w:rsidRPr="00591113">
        <w:t xml:space="preserve">di nuovi casi nella popolazione generale delle Regioni </w:t>
      </w:r>
      <w:r w:rsidR="00DE1CEA">
        <w:t>partecipanti alla Sorveglianza ne</w:t>
      </w:r>
      <w:r w:rsidRPr="00591113">
        <w:t>l periodo</w:t>
      </w:r>
      <w:r>
        <w:t xml:space="preserve"> </w:t>
      </w:r>
      <w:r w:rsidRPr="00591113">
        <w:t>2</w:t>
      </w:r>
      <w:r w:rsidR="001A4684">
        <w:t>1</w:t>
      </w:r>
      <w:r w:rsidRPr="00591113">
        <w:t xml:space="preserve"> dicembre 2020 – </w:t>
      </w:r>
      <w:r w:rsidR="008D2110">
        <w:t>18 settembre</w:t>
      </w:r>
      <w:r w:rsidRPr="00591113">
        <w:t xml:space="preserve"> </w:t>
      </w:r>
      <w:proofErr w:type="gramStart"/>
      <w:r w:rsidRPr="00591113">
        <w:t>2022.*</w:t>
      </w:r>
      <w:proofErr w:type="gramEnd"/>
      <w:r w:rsidRPr="00591113">
        <w:t xml:space="preserve"> </w:t>
      </w:r>
      <w:r w:rsidR="009E1C0A" w:rsidRPr="00290C49">
        <w:rPr>
          <w:rFonts w:cs="Calibri"/>
          <w:i/>
          <w:iCs/>
        </w:rPr>
        <w:t xml:space="preserve">La data sull’asse delle ascisse indica il </w:t>
      </w:r>
      <w:r w:rsidR="00ED0F07">
        <w:rPr>
          <w:rFonts w:cs="Calibri"/>
          <w:i/>
          <w:iCs/>
        </w:rPr>
        <w:t>vener</w:t>
      </w:r>
      <w:r w:rsidR="00ED0F07" w:rsidRPr="00290C49">
        <w:rPr>
          <w:rFonts w:cs="Calibri"/>
          <w:i/>
          <w:iCs/>
        </w:rPr>
        <w:t>dì</w:t>
      </w:r>
      <w:r w:rsidR="009E1C0A" w:rsidRPr="00290C49">
        <w:rPr>
          <w:rFonts w:cs="Calibri"/>
          <w:i/>
          <w:iCs/>
        </w:rPr>
        <w:t xml:space="preserve"> di ciascuna settimana di monitoraggio</w:t>
      </w:r>
      <w:r w:rsidR="009E1C0A">
        <w:rPr>
          <w:rFonts w:cs="Calibri"/>
          <w:i/>
          <w:iCs/>
        </w:rPr>
        <w:t>; per motivi di leggibilità le etichette sono riportate bisettimanalmente</w:t>
      </w:r>
      <w:r w:rsidR="009E1C0A" w:rsidRPr="00290C49">
        <w:rPr>
          <w:rFonts w:cs="Calibri"/>
          <w:i/>
          <w:iCs/>
        </w:rPr>
        <w:t>.</w:t>
      </w:r>
    </w:p>
    <w:p w14:paraId="017DB2B8" w14:textId="3C0BE32F" w:rsidR="000C71D0" w:rsidRDefault="007E28A4" w:rsidP="000C71D0">
      <w:pPr>
        <w:jc w:val="center"/>
        <w:rPr>
          <w:rFonts w:cs="Calibri"/>
          <w:i/>
        </w:rPr>
      </w:pPr>
      <w:r>
        <w:rPr>
          <w:noProof/>
        </w:rPr>
        <w:drawing>
          <wp:inline distT="0" distB="0" distL="0" distR="0" wp14:anchorId="1BEA151C" wp14:editId="3C0888A2">
            <wp:extent cx="6130237" cy="4190400"/>
            <wp:effectExtent l="0" t="0" r="4445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37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DC74" w14:textId="452600DD" w:rsidR="009C4F5E" w:rsidRPr="00DD3DBA" w:rsidRDefault="000C71D0" w:rsidP="00DD3DBA">
      <w:pPr>
        <w:spacing w:line="240" w:lineRule="auto"/>
        <w:jc w:val="both"/>
        <w:rPr>
          <w:sz w:val="18"/>
          <w:szCs w:val="18"/>
        </w:rPr>
      </w:pPr>
      <w:r>
        <w:rPr>
          <w:sz w:val="20"/>
          <w:szCs w:val="20"/>
        </w:rPr>
        <w:t>*</w:t>
      </w:r>
      <w:r w:rsidR="009C4F5E" w:rsidRPr="000C763C">
        <w:rPr>
          <w:sz w:val="20"/>
          <w:szCs w:val="20"/>
        </w:rPr>
        <w:t xml:space="preserve">I dati sulla popolazione generale sono ottenuti dal Ministero della Salute - </w:t>
      </w:r>
      <w:hyperlink r:id="rId17" w:history="1">
        <w:r w:rsidR="009C4F5E" w:rsidRPr="000C763C">
          <w:rPr>
            <w:rStyle w:val="Collegamentoipertestuale"/>
            <w:sz w:val="18"/>
            <w:szCs w:val="18"/>
          </w:rPr>
          <w:t>http://www.salute.gov.it/portale/nuovocoronavirus/homeNuovoCoronavirus.jsp</w:t>
        </w:r>
      </w:hyperlink>
      <w:r w:rsidR="009C4F5E" w:rsidRPr="000C763C">
        <w:rPr>
          <w:sz w:val="18"/>
          <w:szCs w:val="18"/>
        </w:rPr>
        <w:t xml:space="preserve"> </w:t>
      </w:r>
    </w:p>
    <w:p w14:paraId="4785DC73" w14:textId="7C79FFCD" w:rsidR="00725E10" w:rsidRPr="00E41825" w:rsidRDefault="00725E10" w:rsidP="00F62DD6">
      <w:pPr>
        <w:jc w:val="both"/>
      </w:pPr>
      <w:r w:rsidRPr="00DE3CE6">
        <w:br w:type="page"/>
      </w:r>
      <w:r w:rsidRPr="00332BA8">
        <w:rPr>
          <w:color w:val="000000"/>
          <w:sz w:val="24"/>
          <w:szCs w:val="24"/>
        </w:rPr>
        <w:lastRenderedPageBreak/>
        <w:t xml:space="preserve">La </w:t>
      </w:r>
      <w:r w:rsidRPr="00332BA8">
        <w:rPr>
          <w:b/>
          <w:bCs/>
          <w:color w:val="000000"/>
          <w:sz w:val="24"/>
          <w:szCs w:val="24"/>
        </w:rPr>
        <w:t>figura 4</w:t>
      </w:r>
      <w:r w:rsidRPr="00332BA8">
        <w:rPr>
          <w:color w:val="000000"/>
          <w:sz w:val="24"/>
          <w:szCs w:val="24"/>
        </w:rPr>
        <w:t xml:space="preserve"> riporta </w:t>
      </w:r>
      <w:r w:rsidRPr="002D1E76">
        <w:rPr>
          <w:color w:val="000000"/>
          <w:sz w:val="24"/>
          <w:szCs w:val="24"/>
        </w:rPr>
        <w:t xml:space="preserve">il numero di strutture residenziali per </w:t>
      </w:r>
      <w:r w:rsidR="00C40302">
        <w:rPr>
          <w:color w:val="000000"/>
          <w:sz w:val="24"/>
          <w:szCs w:val="24"/>
        </w:rPr>
        <w:t xml:space="preserve">cui </w:t>
      </w:r>
      <w:r w:rsidRPr="002D1E76">
        <w:rPr>
          <w:color w:val="000000"/>
          <w:sz w:val="24"/>
          <w:szCs w:val="24"/>
        </w:rPr>
        <w:t xml:space="preserve">si è registrato </w:t>
      </w:r>
      <w:r w:rsidRPr="005D28C1">
        <w:rPr>
          <w:color w:val="000000"/>
          <w:sz w:val="24"/>
          <w:szCs w:val="24"/>
          <w:u w:val="single"/>
        </w:rPr>
        <w:t xml:space="preserve">almeno un nuovo caso </w:t>
      </w:r>
      <w:r w:rsidRPr="005D28C1">
        <w:rPr>
          <w:color w:val="000000"/>
          <w:u w:val="single"/>
        </w:rPr>
        <w:t xml:space="preserve">SARS-CoV-2 positivo </w:t>
      </w:r>
      <w:r w:rsidRPr="005D28C1">
        <w:rPr>
          <w:color w:val="000000"/>
          <w:sz w:val="24"/>
          <w:szCs w:val="24"/>
          <w:u w:val="single"/>
        </w:rPr>
        <w:t>tra i residenti</w:t>
      </w:r>
      <w:r w:rsidR="00535C20">
        <w:rPr>
          <w:color w:val="000000"/>
          <w:sz w:val="24"/>
          <w:szCs w:val="24"/>
          <w:u w:val="single"/>
        </w:rPr>
        <w:t>,</w:t>
      </w:r>
      <w:r w:rsidRPr="002D1E76">
        <w:rPr>
          <w:color w:val="000000"/>
          <w:sz w:val="24"/>
          <w:szCs w:val="24"/>
        </w:rPr>
        <w:t xml:space="preserve"> rapportato al numero totale di strutture residenziali aderenti al monitoraggio durante la settimana di riferimento.</w:t>
      </w:r>
      <w:r w:rsidRPr="00070B92">
        <w:rPr>
          <w:color w:val="000000"/>
          <w:sz w:val="24"/>
          <w:szCs w:val="24"/>
        </w:rPr>
        <w:t xml:space="preserve"> L’andamento segue</w:t>
      </w:r>
      <w:r>
        <w:rPr>
          <w:color w:val="000000"/>
          <w:sz w:val="24"/>
          <w:szCs w:val="24"/>
        </w:rPr>
        <w:t xml:space="preserve"> </w:t>
      </w:r>
      <w:r w:rsidRPr="002D1E76">
        <w:rPr>
          <w:color w:val="000000"/>
          <w:sz w:val="24"/>
          <w:szCs w:val="24"/>
        </w:rPr>
        <w:t>il profilo dell’incidenza dei contagi (figura 3</w:t>
      </w:r>
      <w:r w:rsidR="00C40302">
        <w:rPr>
          <w:color w:val="000000"/>
          <w:sz w:val="24"/>
          <w:szCs w:val="24"/>
        </w:rPr>
        <w:t>a</w:t>
      </w:r>
      <w:r w:rsidRPr="002D1E76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. Dall’inizio della campagna vaccinale questo parametro </w:t>
      </w:r>
      <w:r w:rsidR="00C40302">
        <w:rPr>
          <w:color w:val="000000"/>
          <w:sz w:val="24"/>
          <w:szCs w:val="24"/>
        </w:rPr>
        <w:t xml:space="preserve">si riduce </w:t>
      </w:r>
      <w:r>
        <w:rPr>
          <w:color w:val="000000"/>
          <w:sz w:val="24"/>
          <w:szCs w:val="24"/>
        </w:rPr>
        <w:t>progressivamente</w:t>
      </w:r>
      <w:r w:rsidR="00C40302">
        <w:rPr>
          <w:color w:val="000000"/>
          <w:sz w:val="24"/>
          <w:szCs w:val="24"/>
        </w:rPr>
        <w:t xml:space="preserve"> e raggiunge a giugno 2021</w:t>
      </w:r>
      <w:r>
        <w:rPr>
          <w:color w:val="000000"/>
          <w:sz w:val="24"/>
          <w:szCs w:val="24"/>
        </w:rPr>
        <w:t xml:space="preserve"> </w:t>
      </w:r>
      <w:r w:rsidRPr="002D1E76">
        <w:rPr>
          <w:color w:val="000000"/>
          <w:sz w:val="24"/>
          <w:szCs w:val="24"/>
        </w:rPr>
        <w:t xml:space="preserve">valori inferiori allo 0,01% sia nelle strutture </w:t>
      </w:r>
      <w:r w:rsidRPr="00CC1BE9">
        <w:rPr>
          <w:color w:val="000000"/>
          <w:sz w:val="24"/>
          <w:szCs w:val="24"/>
        </w:rPr>
        <w:t>residenziali per anziani, sia in tutte le strutture residenziali.</w:t>
      </w:r>
      <w:r w:rsidR="00E41825">
        <w:rPr>
          <w:color w:val="000000"/>
          <w:sz w:val="24"/>
          <w:szCs w:val="24"/>
        </w:rPr>
        <w:t xml:space="preserve"> Si osserva poi un nuovo lieve aumento nella percentuale di </w:t>
      </w:r>
      <w:r w:rsidR="00E41825" w:rsidRPr="00CC1BE9">
        <w:rPr>
          <w:color w:val="000000"/>
          <w:sz w:val="24"/>
          <w:szCs w:val="24"/>
        </w:rPr>
        <w:t>strutture residenziali con almeno un caso</w:t>
      </w:r>
      <w:r w:rsidR="00E41825">
        <w:rPr>
          <w:color w:val="000000"/>
          <w:sz w:val="24"/>
          <w:szCs w:val="24"/>
        </w:rPr>
        <w:t xml:space="preserve">, che comunque resta relativamente stabile fino a dicembre 2021. A gennaio 2022 si assiste ad un picco pari a circa il </w:t>
      </w:r>
      <w:r w:rsidR="00E41825">
        <w:rPr>
          <w:sz w:val="24"/>
          <w:szCs w:val="24"/>
        </w:rPr>
        <w:t>31</w:t>
      </w:r>
      <w:r w:rsidR="00E41825" w:rsidRPr="00CC1BE9">
        <w:rPr>
          <w:sz w:val="24"/>
          <w:szCs w:val="24"/>
        </w:rPr>
        <w:t>%</w:t>
      </w:r>
      <w:r w:rsidR="00E41825" w:rsidRPr="00CC1BE9">
        <w:rPr>
          <w:color w:val="FF0000"/>
          <w:sz w:val="24"/>
          <w:szCs w:val="24"/>
        </w:rPr>
        <w:t xml:space="preserve"> </w:t>
      </w:r>
      <w:r w:rsidR="00E41825" w:rsidRPr="00CC1BE9">
        <w:rPr>
          <w:color w:val="000000"/>
          <w:sz w:val="24"/>
          <w:szCs w:val="24"/>
        </w:rPr>
        <w:t xml:space="preserve">nelle strutture residenziali per anziani e a circa il </w:t>
      </w:r>
      <w:r w:rsidR="00E41825" w:rsidRPr="00CC1BE9">
        <w:rPr>
          <w:sz w:val="24"/>
          <w:szCs w:val="24"/>
        </w:rPr>
        <w:t>20%</w:t>
      </w:r>
      <w:r w:rsidR="00E41825" w:rsidRPr="00CC1BE9">
        <w:rPr>
          <w:color w:val="000000"/>
          <w:sz w:val="24"/>
          <w:szCs w:val="24"/>
        </w:rPr>
        <w:t xml:space="preserve"> in </w:t>
      </w:r>
      <w:r w:rsidR="00E41825" w:rsidRPr="002D1E76">
        <w:rPr>
          <w:color w:val="000000"/>
          <w:sz w:val="24"/>
          <w:szCs w:val="24"/>
        </w:rPr>
        <w:t>tutte le strutture.</w:t>
      </w:r>
      <w:r w:rsidR="00A205DC">
        <w:rPr>
          <w:color w:val="000000"/>
          <w:sz w:val="24"/>
          <w:szCs w:val="24"/>
        </w:rPr>
        <w:t xml:space="preserve"> Successivamente si osservano due ulteriori picchi, sebbene più contenuti: a</w:t>
      </w:r>
      <w:r w:rsidR="00E4005C">
        <w:rPr>
          <w:color w:val="000000"/>
          <w:sz w:val="24"/>
          <w:szCs w:val="24"/>
        </w:rPr>
        <w:t xml:space="preserve"> marzo si raggiunge </w:t>
      </w:r>
      <w:r w:rsidR="00A205DC">
        <w:rPr>
          <w:color w:val="000000"/>
          <w:sz w:val="24"/>
          <w:szCs w:val="24"/>
        </w:rPr>
        <w:t>il</w:t>
      </w:r>
      <w:r w:rsidR="00E4005C">
        <w:rPr>
          <w:color w:val="000000"/>
          <w:sz w:val="24"/>
          <w:szCs w:val="24"/>
        </w:rPr>
        <w:t xml:space="preserve"> 22,6 % </w:t>
      </w:r>
      <w:r w:rsidR="00E4005C" w:rsidRPr="00CC1BE9">
        <w:rPr>
          <w:color w:val="000000"/>
          <w:sz w:val="24"/>
          <w:szCs w:val="24"/>
        </w:rPr>
        <w:t>nelle strutture residenziali per anziani</w:t>
      </w:r>
      <w:r w:rsidR="00E4005C">
        <w:rPr>
          <w:color w:val="000000"/>
          <w:sz w:val="24"/>
          <w:szCs w:val="24"/>
        </w:rPr>
        <w:t xml:space="preserve"> e </w:t>
      </w:r>
      <w:r w:rsidR="00F81A13">
        <w:rPr>
          <w:color w:val="000000"/>
          <w:sz w:val="24"/>
          <w:szCs w:val="24"/>
        </w:rPr>
        <w:t>i</w:t>
      </w:r>
      <w:r w:rsidR="00E4005C">
        <w:rPr>
          <w:color w:val="000000"/>
          <w:sz w:val="24"/>
          <w:szCs w:val="24"/>
        </w:rPr>
        <w:t>l 18,5% in tutte le strutture</w:t>
      </w:r>
      <w:r w:rsidR="00A205DC">
        <w:rPr>
          <w:color w:val="000000"/>
          <w:sz w:val="24"/>
          <w:szCs w:val="24"/>
        </w:rPr>
        <w:t>, mentre a luglio il 16,9% e il 16%, rispettivamente.</w:t>
      </w:r>
      <w:r w:rsidRPr="00CC1BE9">
        <w:rPr>
          <w:color w:val="000000"/>
          <w:sz w:val="24"/>
          <w:szCs w:val="24"/>
        </w:rPr>
        <w:t xml:space="preserve"> </w:t>
      </w:r>
      <w:bookmarkStart w:id="2" w:name="_Hlk113619262"/>
      <w:r w:rsidR="00E41825">
        <w:rPr>
          <w:rFonts w:cs="Calibri"/>
          <w:sz w:val="24"/>
          <w:szCs w:val="24"/>
        </w:rPr>
        <w:t xml:space="preserve">Nel corso del 2022 il numero </w:t>
      </w:r>
      <w:r w:rsidR="00535C20">
        <w:rPr>
          <w:rFonts w:cs="Calibri"/>
          <w:sz w:val="24"/>
          <w:szCs w:val="24"/>
        </w:rPr>
        <w:t xml:space="preserve">percentuale </w:t>
      </w:r>
      <w:r w:rsidR="00E41825">
        <w:rPr>
          <w:rFonts w:cs="Calibri"/>
          <w:sz w:val="24"/>
          <w:szCs w:val="24"/>
        </w:rPr>
        <w:t xml:space="preserve">di strutture con almeno un caso è sistematicamente </w:t>
      </w:r>
      <w:r w:rsidR="00E41825" w:rsidRPr="00B00BA7">
        <w:rPr>
          <w:rFonts w:cs="Calibri"/>
          <w:sz w:val="24"/>
          <w:szCs w:val="24"/>
        </w:rPr>
        <w:t>più elevato nelle strutture per anziani non autosufficienti</w:t>
      </w:r>
      <w:r w:rsidR="00E41825">
        <w:rPr>
          <w:rFonts w:cs="Calibri"/>
          <w:sz w:val="24"/>
          <w:szCs w:val="24"/>
        </w:rPr>
        <w:t>, con la sola eccezione del periodo estivo.</w:t>
      </w:r>
      <w:bookmarkEnd w:id="2"/>
    </w:p>
    <w:p w14:paraId="7566F9F9" w14:textId="77777777" w:rsidR="00725E10" w:rsidRPr="00CD33A4" w:rsidRDefault="00725E10" w:rsidP="000C763C">
      <w:pPr>
        <w:spacing w:line="240" w:lineRule="auto"/>
        <w:jc w:val="both"/>
        <w:rPr>
          <w:b/>
          <w:highlight w:val="yellow"/>
        </w:rPr>
      </w:pPr>
    </w:p>
    <w:p w14:paraId="0A90A944" w14:textId="346E8643" w:rsidR="00725E10" w:rsidRPr="00ED0407" w:rsidRDefault="00725E10" w:rsidP="00ED0407">
      <w:pPr>
        <w:jc w:val="both"/>
        <w:rPr>
          <w:rFonts w:cs="Calibri"/>
        </w:rPr>
      </w:pPr>
      <w:r w:rsidRPr="00651284">
        <w:rPr>
          <w:rFonts w:cs="Calibri"/>
          <w:b/>
        </w:rPr>
        <w:t>Figura 4.</w:t>
      </w:r>
      <w:r w:rsidRPr="00651284">
        <w:rPr>
          <w:rFonts w:cs="Calibri"/>
        </w:rPr>
        <w:t xml:space="preserve"> Percentuale di strutture residenziali con almeno un nuovo caso </w:t>
      </w:r>
      <w:r w:rsidRPr="006F3D82">
        <w:rPr>
          <w:rFonts w:cs="Calibri"/>
        </w:rPr>
        <w:t>SARS-CoV-2 positiv</w:t>
      </w:r>
      <w:r>
        <w:rPr>
          <w:rFonts w:cs="Calibri"/>
        </w:rPr>
        <w:t xml:space="preserve">o </w:t>
      </w:r>
      <w:r w:rsidRPr="00651284">
        <w:t>tra i residenti nel periodo</w:t>
      </w:r>
      <w:r w:rsidR="001A4684">
        <w:t xml:space="preserve"> </w:t>
      </w:r>
      <w:r>
        <w:t>2</w:t>
      </w:r>
      <w:r w:rsidR="001A4684">
        <w:t>1</w:t>
      </w:r>
      <w:r>
        <w:t xml:space="preserve"> dicembre 2020 – </w:t>
      </w:r>
      <w:r w:rsidR="008D2110">
        <w:t>18 settembre</w:t>
      </w:r>
      <w:r>
        <w:t xml:space="preserve"> 2022</w:t>
      </w:r>
      <w:r w:rsidRPr="00651284">
        <w:rPr>
          <w:rFonts w:cs="Calibri"/>
        </w:rPr>
        <w:t xml:space="preserve">. </w:t>
      </w:r>
      <w:r w:rsidR="00535C20" w:rsidRPr="00290C49">
        <w:rPr>
          <w:rFonts w:cs="Calibri"/>
          <w:i/>
          <w:iCs/>
        </w:rPr>
        <w:t xml:space="preserve">La data sull’asse delle ascisse indica il </w:t>
      </w:r>
      <w:r w:rsidR="00ED0F07">
        <w:rPr>
          <w:rFonts w:cs="Calibri"/>
          <w:i/>
          <w:iCs/>
        </w:rPr>
        <w:t>vener</w:t>
      </w:r>
      <w:r w:rsidR="00ED0F07" w:rsidRPr="00290C49">
        <w:rPr>
          <w:rFonts w:cs="Calibri"/>
          <w:i/>
          <w:iCs/>
        </w:rPr>
        <w:t>dì</w:t>
      </w:r>
      <w:r w:rsidR="00535C20" w:rsidRPr="00290C49">
        <w:rPr>
          <w:rFonts w:cs="Calibri"/>
          <w:i/>
          <w:iCs/>
        </w:rPr>
        <w:t xml:space="preserve"> di ciascuna settimana di monitoraggio</w:t>
      </w:r>
      <w:r w:rsidR="00535C20">
        <w:rPr>
          <w:rFonts w:cs="Calibri"/>
          <w:i/>
          <w:iCs/>
        </w:rPr>
        <w:t>; per motivi di leggibilità le etichette sono riportate bisettimanalmente</w:t>
      </w:r>
      <w:r w:rsidR="00535C20" w:rsidRPr="00290C49">
        <w:rPr>
          <w:rFonts w:cs="Calibri"/>
          <w:i/>
          <w:iCs/>
        </w:rPr>
        <w:t>.</w:t>
      </w:r>
      <w:r>
        <w:rPr>
          <w:rFonts w:cs="Calibri"/>
          <w:i/>
        </w:rPr>
        <w:t xml:space="preserve"> </w:t>
      </w:r>
    </w:p>
    <w:p w14:paraId="0745BF02" w14:textId="465B533A" w:rsidR="00725E10" w:rsidRPr="00CC1BE9" w:rsidRDefault="007E28A4" w:rsidP="00AD6CC5">
      <w:pPr>
        <w:jc w:val="both"/>
        <w:rPr>
          <w:color w:val="000000"/>
          <w:sz w:val="24"/>
        </w:rPr>
      </w:pPr>
      <w:r>
        <w:rPr>
          <w:noProof/>
        </w:rPr>
        <w:drawing>
          <wp:inline distT="0" distB="0" distL="0" distR="0" wp14:anchorId="03A36EBE" wp14:editId="21C821D7">
            <wp:extent cx="6113719" cy="4190400"/>
            <wp:effectExtent l="0" t="0" r="1905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19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E10">
        <w:rPr>
          <w:sz w:val="24"/>
        </w:rPr>
        <w:br w:type="page"/>
      </w:r>
      <w:r w:rsidR="00725E10" w:rsidRPr="00A97601">
        <w:rPr>
          <w:color w:val="000000"/>
          <w:sz w:val="24"/>
        </w:rPr>
        <w:lastRenderedPageBreak/>
        <w:t xml:space="preserve">Simile andamento ha avuto il numero di strutture residenziali per le quali si sono registrati </w:t>
      </w:r>
      <w:r w:rsidR="00725E10" w:rsidRPr="005D28C1">
        <w:rPr>
          <w:color w:val="000000"/>
          <w:sz w:val="24"/>
          <w:u w:val="single"/>
        </w:rPr>
        <w:t>focolai da SARS-CoV-2 tra i residenti</w:t>
      </w:r>
      <w:r w:rsidR="00233CAB">
        <w:rPr>
          <w:color w:val="000000"/>
          <w:sz w:val="24"/>
          <w:u w:val="single"/>
        </w:rPr>
        <w:t>,</w:t>
      </w:r>
      <w:r w:rsidR="00725E10" w:rsidRPr="00A97601">
        <w:rPr>
          <w:color w:val="000000"/>
          <w:sz w:val="24"/>
        </w:rPr>
        <w:t xml:space="preserve"> rapportato al numero totale di strutture residenziali aderenti al monitoraggio durante la settimana di riferimento (</w:t>
      </w:r>
      <w:r w:rsidR="00725E10" w:rsidRPr="00A97601">
        <w:rPr>
          <w:b/>
          <w:bCs/>
          <w:color w:val="000000"/>
          <w:sz w:val="24"/>
        </w:rPr>
        <w:t>figura 5)</w:t>
      </w:r>
      <w:r w:rsidR="00725E10" w:rsidRPr="00A97601">
        <w:rPr>
          <w:color w:val="000000"/>
          <w:sz w:val="24"/>
        </w:rPr>
        <w:t xml:space="preserve"> (la definizione di focolaio adottata dal Ministero della Salute prevede l</w:t>
      </w:r>
      <w:r w:rsidR="00233CAB">
        <w:rPr>
          <w:color w:val="000000"/>
          <w:sz w:val="24"/>
        </w:rPr>
        <w:t>’</w:t>
      </w:r>
      <w:r w:rsidR="00725E10" w:rsidRPr="00A97601">
        <w:rPr>
          <w:color w:val="000000"/>
          <w:sz w:val="24"/>
        </w:rPr>
        <w:t xml:space="preserve">individuazione di 2 o più casi positivi per struttura per settimana). </w:t>
      </w:r>
      <w:r w:rsidR="00725E10" w:rsidRPr="00AE6BD4">
        <w:rPr>
          <w:rFonts w:ascii="CIDFont+F1" w:hAnsi="CIDFont+F1" w:cs="CIDFont+F1"/>
          <w:sz w:val="24"/>
          <w:szCs w:val="24"/>
        </w:rPr>
        <w:t xml:space="preserve">Per questo indicatore il picco raggiunto nel gennaio 2022 si attesta rispettivamente </w:t>
      </w:r>
      <w:r w:rsidR="00725E10" w:rsidRPr="00CC1BE9">
        <w:rPr>
          <w:rFonts w:ascii="CIDFont+F1" w:hAnsi="CIDFont+F1" w:cs="CIDFont+F1"/>
          <w:sz w:val="24"/>
          <w:szCs w:val="24"/>
        </w:rPr>
        <w:t>intorno al 2</w:t>
      </w:r>
      <w:r w:rsidR="00E41825">
        <w:rPr>
          <w:rFonts w:ascii="CIDFont+F1" w:hAnsi="CIDFont+F1" w:cs="CIDFont+F1"/>
          <w:sz w:val="24"/>
          <w:szCs w:val="24"/>
        </w:rPr>
        <w:t>4</w:t>
      </w:r>
      <w:r w:rsidR="00725E10" w:rsidRPr="00CC1BE9">
        <w:rPr>
          <w:rFonts w:ascii="CIDFont+F1" w:hAnsi="CIDFont+F1" w:cs="CIDFont+F1"/>
          <w:sz w:val="24"/>
          <w:szCs w:val="24"/>
        </w:rPr>
        <w:t>% (strutture per anziani non autosufficienti) e al 1</w:t>
      </w:r>
      <w:r w:rsidR="00E41825">
        <w:rPr>
          <w:rFonts w:ascii="CIDFont+F1" w:hAnsi="CIDFont+F1" w:cs="CIDFont+F1"/>
          <w:sz w:val="24"/>
          <w:szCs w:val="24"/>
        </w:rPr>
        <w:t>6</w:t>
      </w:r>
      <w:r w:rsidR="00725E10" w:rsidRPr="00CC1BE9">
        <w:rPr>
          <w:rFonts w:ascii="CIDFont+F1" w:hAnsi="CIDFont+F1" w:cs="CIDFont+F1"/>
          <w:sz w:val="24"/>
          <w:szCs w:val="24"/>
        </w:rPr>
        <w:t>% (tutte le strutture).</w:t>
      </w:r>
      <w:r w:rsidR="00E41825" w:rsidRPr="00E41825">
        <w:rPr>
          <w:color w:val="000000"/>
          <w:sz w:val="24"/>
        </w:rPr>
        <w:t xml:space="preserve"> </w:t>
      </w:r>
      <w:r w:rsidR="00E41825">
        <w:rPr>
          <w:color w:val="000000"/>
          <w:sz w:val="24"/>
        </w:rPr>
        <w:t xml:space="preserve">Per i successivi mesi del 2022 tale indicatore presenta valori più contenuti rispetto a quanto </w:t>
      </w:r>
      <w:r w:rsidR="00233CAB">
        <w:rPr>
          <w:color w:val="000000"/>
          <w:sz w:val="24"/>
        </w:rPr>
        <w:t>riportato</w:t>
      </w:r>
      <w:r w:rsidR="00E41825">
        <w:rPr>
          <w:color w:val="000000"/>
          <w:sz w:val="24"/>
        </w:rPr>
        <w:t xml:space="preserve"> in figura 4.</w:t>
      </w:r>
    </w:p>
    <w:p w14:paraId="19BD630E" w14:textId="77777777" w:rsidR="00725E10" w:rsidRPr="00FC54F5" w:rsidRDefault="00725E10" w:rsidP="00651284">
      <w:pPr>
        <w:spacing w:after="0"/>
        <w:jc w:val="both"/>
        <w:rPr>
          <w:sz w:val="24"/>
        </w:rPr>
      </w:pPr>
    </w:p>
    <w:p w14:paraId="118DD3D3" w14:textId="15CF41F0" w:rsidR="00725E10" w:rsidRPr="00DF1A41" w:rsidRDefault="00725E10" w:rsidP="00DF1A41">
      <w:pPr>
        <w:jc w:val="both"/>
      </w:pPr>
      <w:r w:rsidRPr="00651284">
        <w:rPr>
          <w:b/>
          <w:bCs/>
        </w:rPr>
        <w:t>Figura 5</w:t>
      </w:r>
      <w:r w:rsidRPr="00651284">
        <w:t>. Percentuale di strutture residenziali con focolai d</w:t>
      </w:r>
      <w:r>
        <w:t>a SARS-CoV-2</w:t>
      </w:r>
      <w:r w:rsidRPr="00651284">
        <w:t xml:space="preserve"> tra i residenti nel periodo</w:t>
      </w:r>
      <w:r>
        <w:t xml:space="preserve"> 2</w:t>
      </w:r>
      <w:r w:rsidR="001A4684">
        <w:t>1</w:t>
      </w:r>
      <w:r>
        <w:t xml:space="preserve"> dicembre 2020 – </w:t>
      </w:r>
      <w:r w:rsidR="008D2110">
        <w:t>18 settembre</w:t>
      </w:r>
      <w:r>
        <w:t xml:space="preserve"> 2022</w:t>
      </w:r>
      <w:r w:rsidRPr="00651284">
        <w:t xml:space="preserve">. </w:t>
      </w:r>
      <w:r w:rsidR="00233CAB" w:rsidRPr="00290C49">
        <w:rPr>
          <w:rFonts w:cs="Calibri"/>
          <w:i/>
          <w:iCs/>
        </w:rPr>
        <w:t>La data sull’asse delle ascisse indica il</w:t>
      </w:r>
      <w:r w:rsidR="00ED0F07">
        <w:rPr>
          <w:rFonts w:cs="Calibri"/>
          <w:i/>
          <w:iCs/>
        </w:rPr>
        <w:t xml:space="preserve"> vener</w:t>
      </w:r>
      <w:r w:rsidR="00ED0F07" w:rsidRPr="00290C49">
        <w:rPr>
          <w:rFonts w:cs="Calibri"/>
          <w:i/>
          <w:iCs/>
        </w:rPr>
        <w:t>dì</w:t>
      </w:r>
      <w:r w:rsidR="00233CAB" w:rsidRPr="00290C49">
        <w:rPr>
          <w:rFonts w:cs="Calibri"/>
          <w:i/>
          <w:iCs/>
        </w:rPr>
        <w:t xml:space="preserve"> di ciascuna settimana di monitoraggio</w:t>
      </w:r>
      <w:r w:rsidR="00233CAB">
        <w:rPr>
          <w:rFonts w:cs="Calibri"/>
          <w:i/>
          <w:iCs/>
        </w:rPr>
        <w:t>; per motivi di leggibilità le etichette sono riportate bisettimanalmente</w:t>
      </w:r>
      <w:r w:rsidRPr="00651284">
        <w:rPr>
          <w:i/>
          <w:iCs/>
        </w:rPr>
        <w:t>.</w:t>
      </w:r>
      <w:r w:rsidRPr="00651284">
        <w:t xml:space="preserve"> </w:t>
      </w:r>
    </w:p>
    <w:p w14:paraId="79A42B35" w14:textId="0039C02A" w:rsidR="00725E10" w:rsidRPr="009E5EA7" w:rsidRDefault="007E28A4" w:rsidP="002B700B">
      <w:pPr>
        <w:jc w:val="both"/>
        <w:rPr>
          <w:color w:val="000000"/>
          <w:sz w:val="24"/>
        </w:rPr>
      </w:pPr>
      <w:r>
        <w:rPr>
          <w:noProof/>
        </w:rPr>
        <w:drawing>
          <wp:inline distT="0" distB="0" distL="0" distR="0" wp14:anchorId="7DE7DE23" wp14:editId="12AE4ED6">
            <wp:extent cx="6110060" cy="4190400"/>
            <wp:effectExtent l="0" t="0" r="508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60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E10" w:rsidRPr="00FC54F5">
        <w:rPr>
          <w:sz w:val="24"/>
        </w:rPr>
        <w:br w:type="page"/>
      </w:r>
      <w:r w:rsidR="00725E10" w:rsidRPr="009E5EA7">
        <w:rPr>
          <w:color w:val="000000"/>
          <w:sz w:val="24"/>
        </w:rPr>
        <w:lastRenderedPageBreak/>
        <w:t xml:space="preserve">Nel periodo di osservazione, </w:t>
      </w:r>
      <w:r w:rsidR="00725E10" w:rsidRPr="005D28C1">
        <w:rPr>
          <w:color w:val="000000"/>
          <w:sz w:val="24"/>
          <w:u w:val="single"/>
        </w:rPr>
        <w:t xml:space="preserve">l’incidenza di casi </w:t>
      </w:r>
      <w:r w:rsidR="00725E10" w:rsidRPr="005D28C1">
        <w:rPr>
          <w:color w:val="000000"/>
          <w:u w:val="single"/>
        </w:rPr>
        <w:t xml:space="preserve">SARS-CoV-2 positivi </w:t>
      </w:r>
      <w:r w:rsidR="00725E10" w:rsidRPr="005D28C1">
        <w:rPr>
          <w:color w:val="000000"/>
          <w:sz w:val="24"/>
          <w:u w:val="single"/>
        </w:rPr>
        <w:t>tra gli operatori</w:t>
      </w:r>
      <w:r w:rsidR="00725E10" w:rsidRPr="009E5EA7">
        <w:rPr>
          <w:color w:val="000000"/>
          <w:sz w:val="24"/>
        </w:rPr>
        <w:t xml:space="preserve"> sanitari delle strutture residenziali </w:t>
      </w:r>
      <w:r w:rsidR="00725E10" w:rsidRPr="009E5EA7">
        <w:rPr>
          <w:color w:val="000000"/>
          <w:sz w:val="24"/>
          <w:szCs w:val="24"/>
        </w:rPr>
        <w:t xml:space="preserve">(cioè numero di nuovi casi </w:t>
      </w:r>
      <w:r w:rsidR="00725E10" w:rsidRPr="009E5EA7">
        <w:rPr>
          <w:color w:val="000000"/>
        </w:rPr>
        <w:t xml:space="preserve">SARS-CoV-2 positivi </w:t>
      </w:r>
      <w:r w:rsidR="00725E10" w:rsidRPr="009E5EA7">
        <w:rPr>
          <w:color w:val="000000"/>
          <w:sz w:val="24"/>
          <w:szCs w:val="24"/>
        </w:rPr>
        <w:t>diagnosticati tra il personale settimanalmente/numero di personale dedicato all’assistenza nella struttura) ha mostrato un andamento complessivamente paragonabile a quanto osservato nei residenti</w:t>
      </w:r>
      <w:r w:rsidR="00087E8E">
        <w:rPr>
          <w:color w:val="000000"/>
          <w:sz w:val="24"/>
          <w:szCs w:val="24"/>
        </w:rPr>
        <w:t xml:space="preserve"> per tutto il periodo di tempo considerato</w:t>
      </w:r>
      <w:r w:rsidR="00725E10">
        <w:rPr>
          <w:color w:val="000000"/>
          <w:sz w:val="24"/>
          <w:szCs w:val="24"/>
        </w:rPr>
        <w:t>. L</w:t>
      </w:r>
      <w:r w:rsidR="00A644EB">
        <w:rPr>
          <w:color w:val="000000"/>
          <w:sz w:val="24"/>
          <w:szCs w:val="24"/>
        </w:rPr>
        <w:t>’indicatore (</w:t>
      </w:r>
      <w:r w:rsidR="00725E10" w:rsidRPr="009E5EA7">
        <w:rPr>
          <w:b/>
          <w:color w:val="000000"/>
          <w:sz w:val="24"/>
        </w:rPr>
        <w:t>figura 6</w:t>
      </w:r>
      <w:r w:rsidR="00A644EB">
        <w:rPr>
          <w:b/>
          <w:color w:val="000000"/>
          <w:sz w:val="24"/>
        </w:rPr>
        <w:t>)</w:t>
      </w:r>
      <w:r w:rsidR="00725E10">
        <w:rPr>
          <w:color w:val="000000"/>
          <w:sz w:val="24"/>
        </w:rPr>
        <w:t xml:space="preserve"> mantiene valori molto bassi per quasi tutto il 2021 per poi aumentare in maniera marcata dal dicembre 2021 </w:t>
      </w:r>
      <w:r w:rsidR="00087E8E">
        <w:rPr>
          <w:color w:val="000000"/>
          <w:sz w:val="24"/>
        </w:rPr>
        <w:t xml:space="preserve">e </w:t>
      </w:r>
      <w:r w:rsidR="00725E10">
        <w:rPr>
          <w:color w:val="000000"/>
          <w:sz w:val="24"/>
        </w:rPr>
        <w:t xml:space="preserve">raggiungere il </w:t>
      </w:r>
      <w:r w:rsidR="00725E10" w:rsidRPr="00CC1BE9">
        <w:rPr>
          <w:color w:val="000000"/>
          <w:sz w:val="24"/>
        </w:rPr>
        <w:t xml:space="preserve">picco del </w:t>
      </w:r>
      <w:r w:rsidR="00725E10" w:rsidRPr="00CC1BE9">
        <w:rPr>
          <w:sz w:val="24"/>
        </w:rPr>
        <w:t xml:space="preserve">3,6% </w:t>
      </w:r>
      <w:r w:rsidR="00725E10" w:rsidRPr="00CC1BE9">
        <w:rPr>
          <w:color w:val="000000"/>
          <w:sz w:val="24"/>
        </w:rPr>
        <w:t xml:space="preserve">per le strutture per anziani non autosufficienti e del </w:t>
      </w:r>
      <w:r w:rsidR="00725E10" w:rsidRPr="00CC1BE9">
        <w:rPr>
          <w:sz w:val="24"/>
        </w:rPr>
        <w:t xml:space="preserve">2,7% </w:t>
      </w:r>
      <w:r w:rsidR="00725E10" w:rsidRPr="00CC1BE9">
        <w:rPr>
          <w:color w:val="000000"/>
          <w:sz w:val="24"/>
        </w:rPr>
        <w:t>per tutte le strutture residenziali nel gennaio</w:t>
      </w:r>
      <w:r w:rsidR="00725E10">
        <w:rPr>
          <w:color w:val="000000"/>
          <w:sz w:val="24"/>
        </w:rPr>
        <w:t xml:space="preserve"> 2022</w:t>
      </w:r>
      <w:r w:rsidR="00725E10" w:rsidRPr="009E5EA7">
        <w:rPr>
          <w:color w:val="000000"/>
          <w:sz w:val="24"/>
          <w:szCs w:val="24"/>
        </w:rPr>
        <w:t xml:space="preserve">. </w:t>
      </w:r>
      <w:r w:rsidR="00087E8E">
        <w:rPr>
          <w:color w:val="000000"/>
          <w:sz w:val="24"/>
          <w:szCs w:val="24"/>
        </w:rPr>
        <w:t>Il successivo picco di marzo 2022 è pari, rispettivamente, al 2</w:t>
      </w:r>
      <w:r w:rsidR="00FD23E3">
        <w:rPr>
          <w:color w:val="000000"/>
          <w:sz w:val="24"/>
          <w:szCs w:val="24"/>
        </w:rPr>
        <w:t>,</w:t>
      </w:r>
      <w:r w:rsidR="00087E8E">
        <w:rPr>
          <w:color w:val="000000"/>
          <w:sz w:val="24"/>
          <w:szCs w:val="24"/>
        </w:rPr>
        <w:t>8% e al 2</w:t>
      </w:r>
      <w:r w:rsidR="00FD23E3">
        <w:rPr>
          <w:color w:val="000000"/>
          <w:sz w:val="24"/>
          <w:szCs w:val="24"/>
        </w:rPr>
        <w:t>,</w:t>
      </w:r>
      <w:r w:rsidR="00087E8E">
        <w:rPr>
          <w:color w:val="000000"/>
          <w:sz w:val="24"/>
          <w:szCs w:val="24"/>
        </w:rPr>
        <w:t>1%</w:t>
      </w:r>
      <w:r w:rsidR="002A59F4">
        <w:rPr>
          <w:color w:val="000000"/>
          <w:sz w:val="24"/>
          <w:szCs w:val="24"/>
        </w:rPr>
        <w:t>, mentre a giugno e luglio 2022 i</w:t>
      </w:r>
      <w:r w:rsidR="00A644EB">
        <w:rPr>
          <w:color w:val="000000"/>
          <w:sz w:val="24"/>
          <w:szCs w:val="24"/>
        </w:rPr>
        <w:t xml:space="preserve"> valori dell’indicatore sono </w:t>
      </w:r>
      <w:r w:rsidR="002A59F4">
        <w:rPr>
          <w:color w:val="000000"/>
          <w:sz w:val="24"/>
          <w:szCs w:val="24"/>
        </w:rPr>
        <w:t xml:space="preserve">simili per </w:t>
      </w:r>
      <w:r w:rsidR="002A59F4" w:rsidRPr="00CC1BE9">
        <w:rPr>
          <w:color w:val="000000"/>
          <w:sz w:val="24"/>
        </w:rPr>
        <w:t>le strutture per anziani non autosufficienti</w:t>
      </w:r>
      <w:r w:rsidR="002A59F4">
        <w:rPr>
          <w:color w:val="000000"/>
          <w:sz w:val="24"/>
        </w:rPr>
        <w:t xml:space="preserve"> e per tutte le strutture residenziali, con un massimo d</w:t>
      </w:r>
      <w:r w:rsidR="00A644EB">
        <w:rPr>
          <w:color w:val="000000"/>
          <w:sz w:val="24"/>
        </w:rPr>
        <w:t>ell’</w:t>
      </w:r>
      <w:r w:rsidR="002A59F4">
        <w:rPr>
          <w:color w:val="000000"/>
          <w:sz w:val="24"/>
          <w:szCs w:val="24"/>
        </w:rPr>
        <w:t>1</w:t>
      </w:r>
      <w:r w:rsidR="00FD23E3">
        <w:rPr>
          <w:color w:val="000000"/>
          <w:sz w:val="24"/>
          <w:szCs w:val="24"/>
        </w:rPr>
        <w:t>,</w:t>
      </w:r>
      <w:r w:rsidR="002A59F4">
        <w:rPr>
          <w:color w:val="000000"/>
          <w:sz w:val="24"/>
          <w:szCs w:val="24"/>
        </w:rPr>
        <w:t xml:space="preserve">3%. </w:t>
      </w:r>
      <w:r w:rsidR="00725E10" w:rsidRPr="009E5EA7">
        <w:rPr>
          <w:color w:val="000000"/>
          <w:sz w:val="24"/>
        </w:rPr>
        <w:t>Occorre ricordare che gli operatori sanitari, così come i residenti delle strutture sanitarie</w:t>
      </w:r>
      <w:r w:rsidR="002A59F4">
        <w:rPr>
          <w:color w:val="000000"/>
          <w:sz w:val="24"/>
        </w:rPr>
        <w:t>,</w:t>
      </w:r>
      <w:r w:rsidR="00725E10" w:rsidRPr="009E5EA7">
        <w:rPr>
          <w:color w:val="000000"/>
          <w:sz w:val="24"/>
        </w:rPr>
        <w:t xml:space="preserve"> hanno avuto accesso prioritario alla vaccinazione </w:t>
      </w:r>
      <w:r w:rsidR="00725E10">
        <w:rPr>
          <w:color w:val="000000"/>
          <w:sz w:val="24"/>
        </w:rPr>
        <w:t>(</w:t>
      </w:r>
      <w:r w:rsidR="00725E10" w:rsidRPr="009E5EA7">
        <w:rPr>
          <w:color w:val="000000"/>
          <w:sz w:val="24"/>
        </w:rPr>
        <w:t>dal dicembre 2020</w:t>
      </w:r>
      <w:r w:rsidR="00725E10">
        <w:rPr>
          <w:color w:val="000000"/>
          <w:sz w:val="24"/>
        </w:rPr>
        <w:t>) e alla dose booster (dal settembre 2021)</w:t>
      </w:r>
      <w:r w:rsidR="00725E10" w:rsidRPr="009E5EA7">
        <w:rPr>
          <w:color w:val="000000"/>
          <w:sz w:val="24"/>
        </w:rPr>
        <w:t>.</w:t>
      </w:r>
    </w:p>
    <w:p w14:paraId="2A1A896A" w14:textId="77777777" w:rsidR="00725E10" w:rsidRDefault="00725E10" w:rsidP="00B174B9">
      <w:pPr>
        <w:jc w:val="both"/>
        <w:rPr>
          <w:b/>
          <w:sz w:val="24"/>
        </w:rPr>
      </w:pPr>
    </w:p>
    <w:p w14:paraId="57167668" w14:textId="585F4410" w:rsidR="00725E10" w:rsidRDefault="00725E10" w:rsidP="008541DE">
      <w:pPr>
        <w:jc w:val="both"/>
      </w:pPr>
      <w:r w:rsidRPr="00651284">
        <w:rPr>
          <w:b/>
        </w:rPr>
        <w:t xml:space="preserve">Figura 6. </w:t>
      </w:r>
      <w:r w:rsidRPr="00651284">
        <w:t xml:space="preserve">Incidenza settimanale di </w:t>
      </w:r>
      <w:r w:rsidRPr="007E63B6">
        <w:t>SARS-CoV-2</w:t>
      </w:r>
      <w:r>
        <w:t xml:space="preserve"> </w:t>
      </w:r>
      <w:r w:rsidRPr="00651284">
        <w:t>negli operatori sanitari delle strutture residenziali nel periodo</w:t>
      </w:r>
      <w:r w:rsidR="00A644EB">
        <w:t xml:space="preserve"> </w:t>
      </w:r>
      <w:r>
        <w:t>2</w:t>
      </w:r>
      <w:r w:rsidR="001A4684">
        <w:t>1</w:t>
      </w:r>
      <w:r>
        <w:t xml:space="preserve"> dicembre 2020 – </w:t>
      </w:r>
      <w:r w:rsidR="008D2110">
        <w:t>18 settembre</w:t>
      </w:r>
      <w:r>
        <w:t xml:space="preserve"> 2022</w:t>
      </w:r>
      <w:r w:rsidRPr="00651284">
        <w:t xml:space="preserve">. </w:t>
      </w:r>
      <w:r w:rsidR="00A644EB" w:rsidRPr="00290C49">
        <w:rPr>
          <w:rFonts w:cs="Calibri"/>
          <w:i/>
          <w:iCs/>
        </w:rPr>
        <w:t xml:space="preserve">La data sull’asse delle ascisse indica il </w:t>
      </w:r>
      <w:r w:rsidR="00DE29B1">
        <w:rPr>
          <w:rFonts w:cs="Calibri"/>
          <w:i/>
          <w:iCs/>
        </w:rPr>
        <w:t>vener</w:t>
      </w:r>
      <w:r w:rsidR="00A644EB" w:rsidRPr="00290C49">
        <w:rPr>
          <w:rFonts w:cs="Calibri"/>
          <w:i/>
          <w:iCs/>
        </w:rPr>
        <w:t>dì di ciascuna settimana di monitoraggio</w:t>
      </w:r>
      <w:r w:rsidR="00A644EB">
        <w:rPr>
          <w:rFonts w:cs="Calibri"/>
          <w:i/>
          <w:iCs/>
        </w:rPr>
        <w:t>; per motivi di leggibilità le etichette sono riportate bisettimanalmente</w:t>
      </w:r>
      <w:r w:rsidRPr="00651284">
        <w:rPr>
          <w:rFonts w:cs="Calibri"/>
          <w:i/>
        </w:rPr>
        <w:t>.</w:t>
      </w:r>
      <w:r>
        <w:rPr>
          <w:rFonts w:cs="Calibri"/>
          <w:i/>
        </w:rPr>
        <w:t xml:space="preserve"> </w:t>
      </w:r>
    </w:p>
    <w:p w14:paraId="13C957E3" w14:textId="4DD9BB07" w:rsidR="00725E10" w:rsidRPr="00DE3CE6" w:rsidRDefault="007E28A4" w:rsidP="00B174B9">
      <w:pPr>
        <w:jc w:val="both"/>
      </w:pPr>
      <w:r>
        <w:rPr>
          <w:noProof/>
        </w:rPr>
        <w:drawing>
          <wp:inline distT="0" distB="0" distL="0" distR="0" wp14:anchorId="25FCCC4B" wp14:editId="13C0BA90">
            <wp:extent cx="6094559" cy="4190400"/>
            <wp:effectExtent l="0" t="0" r="1905" b="63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59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D6CB8" w14:textId="77777777" w:rsidR="00725E10" w:rsidRPr="00DE3CE6" w:rsidRDefault="00725E10" w:rsidP="00B174B9">
      <w:pPr>
        <w:jc w:val="both"/>
      </w:pPr>
    </w:p>
    <w:p w14:paraId="2FA3E37C" w14:textId="47C04C74" w:rsidR="00725E10" w:rsidRPr="008B6015" w:rsidRDefault="00725E10" w:rsidP="003A2AD5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L</w:t>
      </w:r>
      <w:r w:rsidRPr="000213BC">
        <w:rPr>
          <w:sz w:val="24"/>
          <w:szCs w:val="24"/>
        </w:rPr>
        <w:t xml:space="preserve">a </w:t>
      </w:r>
      <w:r w:rsidRPr="000213BC">
        <w:rPr>
          <w:b/>
          <w:sz w:val="24"/>
          <w:szCs w:val="24"/>
        </w:rPr>
        <w:t>figura 7</w:t>
      </w:r>
      <w:r w:rsidRPr="000213BC">
        <w:rPr>
          <w:sz w:val="24"/>
          <w:szCs w:val="24"/>
        </w:rPr>
        <w:t xml:space="preserve"> mostra </w:t>
      </w:r>
      <w:r w:rsidRPr="000213BC">
        <w:rPr>
          <w:sz w:val="24"/>
          <w:szCs w:val="24"/>
          <w:u w:val="single"/>
        </w:rPr>
        <w:t xml:space="preserve">la percentuale di residenti gestiti </w:t>
      </w:r>
      <w:r w:rsidR="00A644EB">
        <w:rPr>
          <w:sz w:val="24"/>
          <w:szCs w:val="24"/>
          <w:u w:val="single"/>
        </w:rPr>
        <w:t xml:space="preserve">settimanalmente </w:t>
      </w:r>
      <w:r w:rsidRPr="000213BC">
        <w:rPr>
          <w:sz w:val="24"/>
          <w:szCs w:val="24"/>
          <w:u w:val="single"/>
        </w:rPr>
        <w:t>con procedure di isolamento per COVID-19 sospetto, probabile o confermato, o perché in quarantena</w:t>
      </w:r>
      <w:r w:rsidRPr="000213BC">
        <w:rPr>
          <w:sz w:val="24"/>
          <w:szCs w:val="24"/>
        </w:rPr>
        <w:t xml:space="preserve"> </w:t>
      </w:r>
      <w:bookmarkStart w:id="3" w:name="_Hlk45720754"/>
      <w:r w:rsidRPr="000213BC">
        <w:rPr>
          <w:sz w:val="24"/>
          <w:szCs w:val="24"/>
        </w:rPr>
        <w:t>in quanto contatti stretti</w:t>
      </w:r>
      <w:bookmarkStart w:id="4" w:name="_Hlk45720796"/>
      <w:bookmarkEnd w:id="3"/>
      <w:r w:rsidRPr="000213BC">
        <w:rPr>
          <w:sz w:val="24"/>
          <w:szCs w:val="24"/>
        </w:rPr>
        <w:t xml:space="preserve"> o nuovi ingressi</w:t>
      </w:r>
      <w:bookmarkEnd w:id="4"/>
      <w:r w:rsidRPr="000213BC">
        <w:rPr>
          <w:sz w:val="24"/>
          <w:szCs w:val="24"/>
        </w:rPr>
        <w:t>.</w:t>
      </w:r>
      <w:r w:rsidR="002325B3">
        <w:rPr>
          <w:sz w:val="24"/>
          <w:szCs w:val="24"/>
        </w:rPr>
        <w:t xml:space="preserve"> </w:t>
      </w:r>
      <w:r w:rsidRPr="000213BC">
        <w:rPr>
          <w:sz w:val="24"/>
          <w:szCs w:val="24"/>
        </w:rPr>
        <w:t>La figura mostra una notevole riduzione d</w:t>
      </w:r>
      <w:r w:rsidR="00A644EB">
        <w:rPr>
          <w:sz w:val="24"/>
          <w:szCs w:val="24"/>
        </w:rPr>
        <w:t>i tale valore</w:t>
      </w:r>
      <w:r w:rsidRPr="000213BC">
        <w:rPr>
          <w:sz w:val="24"/>
          <w:szCs w:val="24"/>
        </w:rPr>
        <w:t xml:space="preserve"> percentuale, fino a raggiungere, nella settimana dal 21 al 27 giugno 2021, </w:t>
      </w:r>
      <w:r w:rsidRPr="00CC1BE9">
        <w:rPr>
          <w:sz w:val="24"/>
          <w:szCs w:val="24"/>
        </w:rPr>
        <w:t>l’1,3%</w:t>
      </w:r>
      <w:r w:rsidRPr="00CC1BE9">
        <w:rPr>
          <w:color w:val="FF0000"/>
          <w:sz w:val="24"/>
          <w:szCs w:val="24"/>
        </w:rPr>
        <w:t xml:space="preserve"> </w:t>
      </w:r>
      <w:r w:rsidRPr="00CC1BE9">
        <w:rPr>
          <w:sz w:val="24"/>
          <w:szCs w:val="24"/>
        </w:rPr>
        <w:t xml:space="preserve">dei residenti nelle strutture residenziali per anziani e l’1% dei residenti in tutte le strutture residenziali. </w:t>
      </w:r>
      <w:r w:rsidR="003A2AD5">
        <w:rPr>
          <w:sz w:val="24"/>
          <w:szCs w:val="24"/>
        </w:rPr>
        <w:t xml:space="preserve">Nella seconda parte del </w:t>
      </w:r>
      <w:r>
        <w:rPr>
          <w:sz w:val="24"/>
          <w:szCs w:val="24"/>
        </w:rPr>
        <w:t xml:space="preserve">2021 </w:t>
      </w:r>
      <w:r w:rsidRPr="00CC1BE9">
        <w:rPr>
          <w:sz w:val="24"/>
          <w:szCs w:val="24"/>
        </w:rPr>
        <w:t>si osserva un lento ma progressivo aumento, più evidente nelle strutture per anziani non autosufficienti, che raggiunge un picco del 4% per tali strutture nella settimana dal 18 al 24 ottobre 2021, e di circa il 3% per tutte le strutture nelle settimane dall’1 al 14 novembre</w:t>
      </w:r>
      <w:r>
        <w:rPr>
          <w:sz w:val="24"/>
          <w:szCs w:val="24"/>
        </w:rPr>
        <w:t xml:space="preserve"> 2021</w:t>
      </w:r>
      <w:r w:rsidRPr="00CC1BE9">
        <w:rPr>
          <w:sz w:val="24"/>
          <w:szCs w:val="24"/>
        </w:rPr>
        <w:t xml:space="preserve">. In corrispondenza del picco dei contagi a inizio 2022, infine, le due curve si attestano rispettivamente su picchi percentuali del </w:t>
      </w:r>
      <w:r w:rsidR="003A2AD5">
        <w:rPr>
          <w:sz w:val="24"/>
          <w:szCs w:val="24"/>
        </w:rPr>
        <w:t>21,5</w:t>
      </w:r>
      <w:r w:rsidRPr="00CC1BE9">
        <w:rPr>
          <w:sz w:val="24"/>
          <w:szCs w:val="24"/>
        </w:rPr>
        <w:t xml:space="preserve">% (strutture per anziani non autosufficienti) e del </w:t>
      </w:r>
      <w:r w:rsidR="003A2AD5">
        <w:rPr>
          <w:sz w:val="24"/>
          <w:szCs w:val="24"/>
        </w:rPr>
        <w:t>16,1</w:t>
      </w:r>
      <w:r w:rsidRPr="00CC1BE9">
        <w:rPr>
          <w:sz w:val="24"/>
          <w:szCs w:val="24"/>
        </w:rPr>
        <w:t xml:space="preserve">% (tutte le strutture). </w:t>
      </w:r>
      <w:r w:rsidR="003A2AD5">
        <w:rPr>
          <w:sz w:val="24"/>
          <w:szCs w:val="24"/>
        </w:rPr>
        <w:t xml:space="preserve">In seguito al picco relativo di marzo 2022 </w:t>
      </w:r>
      <w:r w:rsidR="00E36864">
        <w:rPr>
          <w:sz w:val="24"/>
          <w:szCs w:val="24"/>
        </w:rPr>
        <w:t>(pari rispettivamente a</w:t>
      </w:r>
      <w:r w:rsidR="00A644EB">
        <w:rPr>
          <w:sz w:val="24"/>
          <w:szCs w:val="24"/>
        </w:rPr>
        <w:t>l</w:t>
      </w:r>
      <w:r w:rsidR="00E36864">
        <w:rPr>
          <w:sz w:val="24"/>
          <w:szCs w:val="24"/>
        </w:rPr>
        <w:t xml:space="preserve"> 14,7% e </w:t>
      </w:r>
      <w:r w:rsidR="00A644EB">
        <w:rPr>
          <w:sz w:val="24"/>
          <w:szCs w:val="24"/>
        </w:rPr>
        <w:t>all’</w:t>
      </w:r>
      <w:r w:rsidR="00E36864">
        <w:rPr>
          <w:sz w:val="24"/>
          <w:szCs w:val="24"/>
        </w:rPr>
        <w:t xml:space="preserve">11,3%), la percentuale di residenti </w:t>
      </w:r>
      <w:r w:rsidR="00E36864" w:rsidRPr="000213BC">
        <w:rPr>
          <w:sz w:val="24"/>
          <w:szCs w:val="24"/>
        </w:rPr>
        <w:t>gestiti settimanalmente con procedure di isolamento</w:t>
      </w:r>
      <w:r w:rsidR="00E36864">
        <w:rPr>
          <w:sz w:val="24"/>
          <w:szCs w:val="24"/>
        </w:rPr>
        <w:t xml:space="preserve"> diminuisce e nei mesi di luglio ed agosto si attesta </w:t>
      </w:r>
      <w:r w:rsidR="00A644EB">
        <w:rPr>
          <w:sz w:val="24"/>
          <w:szCs w:val="24"/>
        </w:rPr>
        <w:t xml:space="preserve">intorno </w:t>
      </w:r>
      <w:r w:rsidR="00E36864">
        <w:rPr>
          <w:sz w:val="24"/>
          <w:szCs w:val="24"/>
        </w:rPr>
        <w:t xml:space="preserve">ad una media del 5% sia per le </w:t>
      </w:r>
      <w:r w:rsidR="00E36864" w:rsidRPr="00CC1BE9">
        <w:rPr>
          <w:sz w:val="24"/>
          <w:szCs w:val="24"/>
        </w:rPr>
        <w:t>strutture per anziani non autosufficienti</w:t>
      </w:r>
      <w:r w:rsidR="00E36864">
        <w:rPr>
          <w:sz w:val="24"/>
          <w:szCs w:val="24"/>
        </w:rPr>
        <w:t>, sia per tutte le strutture residenziali.</w:t>
      </w:r>
      <w:r w:rsidR="008B6015">
        <w:rPr>
          <w:sz w:val="24"/>
          <w:szCs w:val="24"/>
        </w:rPr>
        <w:t xml:space="preserve"> </w:t>
      </w:r>
      <w:r w:rsidR="008B6015" w:rsidRPr="008B6015">
        <w:rPr>
          <w:sz w:val="24"/>
          <w:szCs w:val="24"/>
        </w:rPr>
        <w:t>A settembre 2022 tale indicatore si attesta, rispettivamente, all’1,4% e all’1,2%.</w:t>
      </w:r>
    </w:p>
    <w:p w14:paraId="3D5AE80F" w14:textId="77777777" w:rsidR="00725E10" w:rsidRPr="002F2A98" w:rsidRDefault="00725E10" w:rsidP="00924F95">
      <w:pPr>
        <w:autoSpaceDE w:val="0"/>
        <w:autoSpaceDN w:val="0"/>
        <w:adjustRightInd w:val="0"/>
        <w:spacing w:after="0" w:line="240" w:lineRule="auto"/>
        <w:jc w:val="both"/>
        <w:rPr>
          <w:color w:val="808080"/>
          <w:sz w:val="24"/>
          <w:szCs w:val="24"/>
        </w:rPr>
      </w:pPr>
    </w:p>
    <w:p w14:paraId="63856362" w14:textId="77777777" w:rsidR="00725E10" w:rsidRPr="002F2A98" w:rsidRDefault="00725E10" w:rsidP="00B174B9">
      <w:pPr>
        <w:autoSpaceDE w:val="0"/>
        <w:autoSpaceDN w:val="0"/>
        <w:adjustRightInd w:val="0"/>
        <w:spacing w:after="0" w:line="240" w:lineRule="auto"/>
        <w:jc w:val="both"/>
        <w:rPr>
          <w:color w:val="808080"/>
        </w:rPr>
      </w:pPr>
    </w:p>
    <w:p w14:paraId="0F42A1F0" w14:textId="2B42EEB7" w:rsidR="00725E10" w:rsidRPr="00DE3CE6" w:rsidRDefault="00725E10" w:rsidP="006F3F45">
      <w:pPr>
        <w:autoSpaceDE w:val="0"/>
        <w:autoSpaceDN w:val="0"/>
        <w:adjustRightInd w:val="0"/>
        <w:spacing w:line="240" w:lineRule="auto"/>
        <w:jc w:val="both"/>
      </w:pPr>
      <w:r w:rsidRPr="00651284">
        <w:rPr>
          <w:b/>
        </w:rPr>
        <w:t>Figura 7.</w:t>
      </w:r>
      <w:r w:rsidRPr="00651284">
        <w:t xml:space="preserve"> Percentuale di residenti gestiti con procedure di isolamento per COVID-19 sospetto, probabile o confermato, o perché in quarantena in quanto contatti stretti o nuovi ingressi, nel periodo</w:t>
      </w:r>
      <w:r>
        <w:t xml:space="preserve"> 2</w:t>
      </w:r>
      <w:r w:rsidR="001A4684">
        <w:t>1</w:t>
      </w:r>
      <w:r>
        <w:t xml:space="preserve"> dicembre 2020 – </w:t>
      </w:r>
      <w:r w:rsidR="008D2110">
        <w:t>18 settembre</w:t>
      </w:r>
      <w:r>
        <w:t xml:space="preserve"> 2022.</w:t>
      </w:r>
      <w:r w:rsidRPr="00651284">
        <w:t xml:space="preserve">  </w:t>
      </w:r>
      <w:r w:rsidR="00A644EB" w:rsidRPr="00290C49">
        <w:rPr>
          <w:rFonts w:cs="Calibri"/>
          <w:i/>
          <w:iCs/>
        </w:rPr>
        <w:t xml:space="preserve">La data sull’asse delle ascisse indica il </w:t>
      </w:r>
      <w:r w:rsidR="00DE29B1">
        <w:rPr>
          <w:rFonts w:cs="Calibri"/>
          <w:i/>
          <w:iCs/>
        </w:rPr>
        <w:t>vener</w:t>
      </w:r>
      <w:r w:rsidR="00A644EB" w:rsidRPr="00290C49">
        <w:rPr>
          <w:rFonts w:cs="Calibri"/>
          <w:i/>
          <w:iCs/>
        </w:rPr>
        <w:t>dì di ciascuna settimana di monitoraggio</w:t>
      </w:r>
      <w:r w:rsidR="00A644EB">
        <w:rPr>
          <w:rFonts w:cs="Calibri"/>
          <w:i/>
          <w:iCs/>
        </w:rPr>
        <w:t>; per motivi di leggibilità le etichette sono riportate bisettimanalmente</w:t>
      </w:r>
      <w:r w:rsidRPr="00651284">
        <w:rPr>
          <w:rFonts w:cs="Calibri"/>
          <w:i/>
        </w:rPr>
        <w:t>.</w:t>
      </w:r>
      <w:r>
        <w:rPr>
          <w:rFonts w:cs="Calibri"/>
          <w:i/>
        </w:rPr>
        <w:t xml:space="preserve"> </w:t>
      </w:r>
    </w:p>
    <w:p w14:paraId="0A4B26EB" w14:textId="0724B788" w:rsidR="00725E10" w:rsidRPr="00DE3CE6" w:rsidRDefault="007E28A4" w:rsidP="00B174B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7AF0024" wp14:editId="6BF3AB04">
            <wp:extent cx="6115549" cy="4190400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49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B7BA" w14:textId="77777777" w:rsidR="00725E10" w:rsidRDefault="00725E10" w:rsidP="00407BE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02351073" w14:textId="77777777" w:rsidR="00725E10" w:rsidRDefault="00725E10" w:rsidP="00407BE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48C4AFE5" w14:textId="77777777" w:rsidR="00725E10" w:rsidRDefault="00725E10" w:rsidP="00407BE1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>A completamento dell’informazione precedente, e per una migliore comprensione delle curve riportate, si</w:t>
      </w:r>
      <w:r w:rsidRPr="00407BE1">
        <w:rPr>
          <w:sz w:val="24"/>
          <w:szCs w:val="24"/>
        </w:rPr>
        <w:t xml:space="preserve"> segnala che l’ordinanza ministeriale n. 52 dell’8 maggio</w:t>
      </w:r>
      <w:r>
        <w:rPr>
          <w:sz w:val="24"/>
          <w:szCs w:val="24"/>
        </w:rPr>
        <w:t xml:space="preserve"> 2021</w:t>
      </w:r>
      <w:r w:rsidRPr="00407BE1">
        <w:rPr>
          <w:sz w:val="24"/>
          <w:szCs w:val="24"/>
        </w:rPr>
        <w:t xml:space="preserve"> ha regolamentato la gestione delle procedure di isolamento per i nuovi ingressi nelle strutture residenziali e ha limitato tale procedura ai soli casi di nuovi ingressi di residenti non vaccinati o vaccinati con prima dose da </w:t>
      </w:r>
      <w:r w:rsidRPr="00030940">
        <w:rPr>
          <w:color w:val="000000"/>
          <w:sz w:val="24"/>
          <w:szCs w:val="24"/>
        </w:rPr>
        <w:t>meno di 14 giorni.</w:t>
      </w:r>
    </w:p>
    <w:p w14:paraId="3C9CBB2C" w14:textId="77777777" w:rsidR="00725E10" w:rsidRPr="00030940" w:rsidRDefault="00725E10" w:rsidP="00407BE1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</w:p>
    <w:p w14:paraId="63C55C7A" w14:textId="7FE5D409" w:rsidR="00725E10" w:rsidRPr="00CB581F" w:rsidRDefault="00725E10" w:rsidP="00CB581F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030940">
        <w:rPr>
          <w:color w:val="000000"/>
          <w:sz w:val="24"/>
          <w:szCs w:val="24"/>
        </w:rPr>
        <w:t xml:space="preserve">Quando sono state analizzate le </w:t>
      </w:r>
      <w:r w:rsidRPr="000213BC">
        <w:rPr>
          <w:color w:val="000000"/>
          <w:sz w:val="24"/>
          <w:szCs w:val="24"/>
          <w:u w:val="single"/>
        </w:rPr>
        <w:t>sole procedure di isolamento per COVID-19 sospetto, probabile o confermato</w:t>
      </w:r>
      <w:r>
        <w:rPr>
          <w:color w:val="000000"/>
          <w:sz w:val="24"/>
          <w:szCs w:val="24"/>
        </w:rPr>
        <w:t xml:space="preserve"> (</w:t>
      </w:r>
      <w:r w:rsidRPr="000213BC">
        <w:rPr>
          <w:b/>
          <w:color w:val="000000"/>
          <w:sz w:val="24"/>
          <w:szCs w:val="24"/>
        </w:rPr>
        <w:t>figura 8</w:t>
      </w:r>
      <w:r>
        <w:rPr>
          <w:color w:val="000000"/>
          <w:sz w:val="24"/>
          <w:szCs w:val="24"/>
        </w:rPr>
        <w:t>)</w:t>
      </w:r>
      <w:r w:rsidRPr="00030940">
        <w:rPr>
          <w:color w:val="000000"/>
          <w:sz w:val="24"/>
          <w:szCs w:val="24"/>
        </w:rPr>
        <w:t>, la riduzione</w:t>
      </w:r>
      <w:r>
        <w:rPr>
          <w:color w:val="000000"/>
          <w:sz w:val="24"/>
          <w:szCs w:val="24"/>
        </w:rPr>
        <w:t xml:space="preserve"> percentuale</w:t>
      </w:r>
      <w:r w:rsidRPr="00030940">
        <w:rPr>
          <w:color w:val="000000"/>
          <w:sz w:val="24"/>
          <w:szCs w:val="24"/>
        </w:rPr>
        <w:t xml:space="preserve"> d</w:t>
      </w:r>
      <w:r w:rsidR="00824C59">
        <w:rPr>
          <w:color w:val="000000"/>
          <w:sz w:val="24"/>
          <w:szCs w:val="24"/>
        </w:rPr>
        <w:t>ell’indicatore</w:t>
      </w:r>
      <w:r w:rsidRPr="00030940">
        <w:rPr>
          <w:color w:val="000000"/>
          <w:sz w:val="24"/>
          <w:szCs w:val="24"/>
        </w:rPr>
        <w:t xml:space="preserve"> durante il periodo di monitoraggio è risultata particolarmente evidente </w:t>
      </w:r>
      <w:r>
        <w:rPr>
          <w:color w:val="000000"/>
          <w:sz w:val="24"/>
          <w:szCs w:val="24"/>
        </w:rPr>
        <w:t>scendendo fino ad</w:t>
      </w:r>
      <w:r w:rsidRPr="00030940">
        <w:rPr>
          <w:color w:val="000000"/>
          <w:sz w:val="24"/>
          <w:szCs w:val="24"/>
        </w:rPr>
        <w:t xml:space="preserve"> un valore minimo dello </w:t>
      </w:r>
      <w:r w:rsidRPr="00CC1BE9">
        <w:rPr>
          <w:sz w:val="24"/>
          <w:szCs w:val="24"/>
        </w:rPr>
        <w:t xml:space="preserve">0,2% </w:t>
      </w:r>
      <w:r w:rsidRPr="00CC1BE9">
        <w:rPr>
          <w:color w:val="000000"/>
          <w:sz w:val="24"/>
          <w:szCs w:val="24"/>
        </w:rPr>
        <w:t xml:space="preserve">dei residenti nelle strutture residenziali per anziani e dello </w:t>
      </w:r>
      <w:r w:rsidRPr="00CC1BE9">
        <w:rPr>
          <w:sz w:val="24"/>
          <w:szCs w:val="24"/>
        </w:rPr>
        <w:t xml:space="preserve">0,1% </w:t>
      </w:r>
      <w:r w:rsidRPr="00CC1BE9">
        <w:rPr>
          <w:color w:val="000000"/>
          <w:sz w:val="24"/>
          <w:szCs w:val="24"/>
        </w:rPr>
        <w:t xml:space="preserve">dei residenti in tutte le strutture residenziali </w:t>
      </w:r>
      <w:r w:rsidR="00824C59">
        <w:rPr>
          <w:color w:val="000000"/>
          <w:sz w:val="24"/>
          <w:szCs w:val="24"/>
        </w:rPr>
        <w:t>(</w:t>
      </w:r>
      <w:r w:rsidRPr="00CC1BE9">
        <w:rPr>
          <w:color w:val="000000"/>
          <w:sz w:val="24"/>
          <w:szCs w:val="24"/>
        </w:rPr>
        <w:t>luglio 2021</w:t>
      </w:r>
      <w:r w:rsidR="00824C59">
        <w:rPr>
          <w:color w:val="000000"/>
          <w:sz w:val="24"/>
          <w:szCs w:val="24"/>
        </w:rPr>
        <w:t>)</w:t>
      </w:r>
      <w:r w:rsidRPr="00CC1BE9">
        <w:rPr>
          <w:color w:val="000000"/>
          <w:sz w:val="24"/>
          <w:szCs w:val="24"/>
        </w:rPr>
        <w:t>. Un lieve incremento si è osservato nei mesi di agosto-novembre 2021</w:t>
      </w:r>
      <w:r w:rsidRPr="00030940">
        <w:rPr>
          <w:color w:val="000000"/>
          <w:sz w:val="24"/>
          <w:szCs w:val="24"/>
        </w:rPr>
        <w:t xml:space="preserve"> </w:t>
      </w:r>
      <w:r w:rsidR="008C5A2A">
        <w:rPr>
          <w:color w:val="000000"/>
          <w:sz w:val="24"/>
          <w:szCs w:val="24"/>
        </w:rPr>
        <w:t xml:space="preserve">e le </w:t>
      </w:r>
      <w:r w:rsidRPr="00030940">
        <w:rPr>
          <w:color w:val="000000"/>
          <w:sz w:val="24"/>
          <w:szCs w:val="24"/>
        </w:rPr>
        <w:t xml:space="preserve">percentuali sono poi risalite ad inizio 2022 </w:t>
      </w:r>
      <w:r w:rsidR="00990A16">
        <w:rPr>
          <w:color w:val="000000"/>
          <w:sz w:val="24"/>
          <w:szCs w:val="24"/>
        </w:rPr>
        <w:t>fino a superare i</w:t>
      </w:r>
      <w:r w:rsidRPr="00030940">
        <w:rPr>
          <w:color w:val="000000"/>
          <w:sz w:val="24"/>
          <w:szCs w:val="24"/>
        </w:rPr>
        <w:t xml:space="preserve"> valori di inizio 2021</w:t>
      </w:r>
      <w:r>
        <w:rPr>
          <w:color w:val="000000"/>
          <w:sz w:val="24"/>
          <w:szCs w:val="24"/>
        </w:rPr>
        <w:t xml:space="preserve"> per tutte le strutture residenziali (</w:t>
      </w:r>
      <w:r w:rsidR="00990A16">
        <w:rPr>
          <w:color w:val="000000"/>
          <w:sz w:val="24"/>
          <w:szCs w:val="24"/>
        </w:rPr>
        <w:t>10,3</w:t>
      </w:r>
      <w:r>
        <w:rPr>
          <w:color w:val="000000"/>
          <w:sz w:val="24"/>
          <w:szCs w:val="24"/>
        </w:rPr>
        <w:t>%) e per le strutture per anziani non autosufficienti (</w:t>
      </w:r>
      <w:r w:rsidR="00990A16">
        <w:rPr>
          <w:color w:val="000000"/>
          <w:sz w:val="24"/>
          <w:szCs w:val="24"/>
        </w:rPr>
        <w:t>13,9</w:t>
      </w:r>
      <w:r>
        <w:rPr>
          <w:color w:val="000000"/>
          <w:sz w:val="24"/>
          <w:szCs w:val="24"/>
        </w:rPr>
        <w:t>%)</w:t>
      </w:r>
      <w:r w:rsidRPr="00030940">
        <w:rPr>
          <w:color w:val="000000"/>
          <w:sz w:val="24"/>
          <w:szCs w:val="24"/>
        </w:rPr>
        <w:t>.</w:t>
      </w:r>
      <w:r w:rsidR="00990A16">
        <w:rPr>
          <w:color w:val="000000"/>
          <w:sz w:val="24"/>
          <w:szCs w:val="24"/>
        </w:rPr>
        <w:t xml:space="preserve"> </w:t>
      </w:r>
      <w:r w:rsidR="00990A16">
        <w:rPr>
          <w:sz w:val="24"/>
          <w:szCs w:val="24"/>
        </w:rPr>
        <w:t xml:space="preserve">In seguito al picco relativo di marzo 2022 (pari rispettivamente a 7,7% e 9,7%), la percentuale di residenti </w:t>
      </w:r>
      <w:r w:rsidR="00990A16" w:rsidRPr="000213BC">
        <w:rPr>
          <w:sz w:val="24"/>
          <w:szCs w:val="24"/>
        </w:rPr>
        <w:t>gestiti settimanalmente con procedure di isolamento</w:t>
      </w:r>
      <w:r w:rsidR="00990A16">
        <w:rPr>
          <w:sz w:val="24"/>
          <w:szCs w:val="24"/>
        </w:rPr>
        <w:t xml:space="preserve"> per COVID-19 </w:t>
      </w:r>
      <w:r w:rsidR="00824C59">
        <w:rPr>
          <w:sz w:val="24"/>
          <w:szCs w:val="24"/>
        </w:rPr>
        <w:t xml:space="preserve">è nuovamente </w:t>
      </w:r>
      <w:r w:rsidR="00990A16">
        <w:rPr>
          <w:sz w:val="24"/>
          <w:szCs w:val="24"/>
        </w:rPr>
        <w:t>diminui</w:t>
      </w:r>
      <w:r w:rsidR="00824C59">
        <w:rPr>
          <w:sz w:val="24"/>
          <w:szCs w:val="24"/>
        </w:rPr>
        <w:t>ta</w:t>
      </w:r>
      <w:r w:rsidR="00990A16">
        <w:rPr>
          <w:sz w:val="24"/>
          <w:szCs w:val="24"/>
        </w:rPr>
        <w:t xml:space="preserve"> e nei mesi di luglio ed agosto si</w:t>
      </w:r>
      <w:r w:rsidR="00824C59">
        <w:rPr>
          <w:sz w:val="24"/>
          <w:szCs w:val="24"/>
        </w:rPr>
        <w:t xml:space="preserve"> è attestata intorno </w:t>
      </w:r>
      <w:r w:rsidR="00990A16">
        <w:rPr>
          <w:sz w:val="24"/>
          <w:szCs w:val="24"/>
        </w:rPr>
        <w:t xml:space="preserve">ad una media del 2,2% sia per le </w:t>
      </w:r>
      <w:r w:rsidR="00990A16" w:rsidRPr="00CC1BE9">
        <w:rPr>
          <w:sz w:val="24"/>
          <w:szCs w:val="24"/>
        </w:rPr>
        <w:t>strutture per anziani non autosufficienti</w:t>
      </w:r>
      <w:r w:rsidR="00990A16">
        <w:rPr>
          <w:sz w:val="24"/>
          <w:szCs w:val="24"/>
        </w:rPr>
        <w:t>, sia per tutte le strutture residenziali.</w:t>
      </w:r>
      <w:r w:rsidR="008B6015">
        <w:rPr>
          <w:sz w:val="24"/>
          <w:szCs w:val="24"/>
        </w:rPr>
        <w:t xml:space="preserve"> </w:t>
      </w:r>
      <w:r w:rsidR="008B6015" w:rsidRPr="008B6015">
        <w:rPr>
          <w:sz w:val="24"/>
          <w:szCs w:val="24"/>
        </w:rPr>
        <w:t xml:space="preserve">A settembre 2022 tale indicatore </w:t>
      </w:r>
      <w:r w:rsidR="008B6015">
        <w:rPr>
          <w:sz w:val="24"/>
          <w:szCs w:val="24"/>
        </w:rPr>
        <w:t>scende sotto l’1%</w:t>
      </w:r>
      <w:r w:rsidR="008B6015" w:rsidRPr="008B6015">
        <w:rPr>
          <w:sz w:val="24"/>
          <w:szCs w:val="24"/>
        </w:rPr>
        <w:t>.</w:t>
      </w:r>
    </w:p>
    <w:p w14:paraId="257997D4" w14:textId="77777777" w:rsidR="00725E10" w:rsidRPr="00407BE1" w:rsidRDefault="00725E10" w:rsidP="00407BE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44C25BE2" w14:textId="77777777" w:rsidR="00725E10" w:rsidRDefault="00725E10" w:rsidP="00924F95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14:paraId="6F4BCBF5" w14:textId="6411421A" w:rsidR="00725E10" w:rsidRDefault="00725E10" w:rsidP="006F3F45">
      <w:pPr>
        <w:autoSpaceDE w:val="0"/>
        <w:autoSpaceDN w:val="0"/>
        <w:adjustRightInd w:val="0"/>
        <w:spacing w:line="240" w:lineRule="auto"/>
        <w:jc w:val="both"/>
      </w:pPr>
      <w:r w:rsidRPr="00651284">
        <w:rPr>
          <w:b/>
        </w:rPr>
        <w:t>Figura 8.</w:t>
      </w:r>
      <w:r w:rsidRPr="00651284">
        <w:t xml:space="preserve"> Percentuale di residenti gestiti con procedure di isolamento per COVID-19 sospetto, probabile o confermato nel periodo</w:t>
      </w:r>
      <w:r>
        <w:t xml:space="preserve"> 2</w:t>
      </w:r>
      <w:r w:rsidR="001A4684">
        <w:t>1</w:t>
      </w:r>
      <w:r>
        <w:t xml:space="preserve"> dicembre 2020 – </w:t>
      </w:r>
      <w:r w:rsidR="008D2110">
        <w:t>18 settembre</w:t>
      </w:r>
      <w:r>
        <w:t xml:space="preserve"> 2022.</w:t>
      </w:r>
      <w:r w:rsidRPr="00651284">
        <w:t xml:space="preserve"> </w:t>
      </w:r>
      <w:r w:rsidR="00824C59" w:rsidRPr="00290C49">
        <w:rPr>
          <w:rFonts w:cs="Calibri"/>
          <w:i/>
          <w:iCs/>
        </w:rPr>
        <w:t xml:space="preserve">La data sull’asse delle ascisse indica il </w:t>
      </w:r>
      <w:r w:rsidR="00DE29B1">
        <w:rPr>
          <w:rFonts w:cs="Calibri"/>
          <w:i/>
          <w:iCs/>
        </w:rPr>
        <w:t>vener</w:t>
      </w:r>
      <w:r w:rsidR="00824C59" w:rsidRPr="00290C49">
        <w:rPr>
          <w:rFonts w:cs="Calibri"/>
          <w:i/>
          <w:iCs/>
        </w:rPr>
        <w:t>dì di ciascuna settimana di monitoraggio</w:t>
      </w:r>
      <w:r w:rsidR="00824C59">
        <w:rPr>
          <w:rFonts w:cs="Calibri"/>
          <w:i/>
          <w:iCs/>
        </w:rPr>
        <w:t>; per motivi di leggibilità le etichette sono riportate bisettimanalmente</w:t>
      </w:r>
      <w:r w:rsidRPr="00651284">
        <w:rPr>
          <w:rFonts w:cs="Calibri"/>
          <w:i/>
        </w:rPr>
        <w:t>.</w:t>
      </w:r>
      <w:r>
        <w:rPr>
          <w:rFonts w:cs="Calibri"/>
          <w:i/>
        </w:rPr>
        <w:t xml:space="preserve"> </w:t>
      </w:r>
    </w:p>
    <w:p w14:paraId="49DC748F" w14:textId="4B4B0A1A" w:rsidR="00725E10" w:rsidRPr="00DE3CE6" w:rsidRDefault="007E28A4" w:rsidP="00B174B9">
      <w:pPr>
        <w:jc w:val="both"/>
      </w:pPr>
      <w:r>
        <w:rPr>
          <w:noProof/>
        </w:rPr>
        <w:drawing>
          <wp:inline distT="0" distB="0" distL="0" distR="0" wp14:anchorId="33FAE940" wp14:editId="47F10A67">
            <wp:extent cx="6036009" cy="4190400"/>
            <wp:effectExtent l="0" t="0" r="3175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09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43C3" w14:textId="34318601" w:rsidR="00725E10" w:rsidRPr="00CC1BE9" w:rsidRDefault="00725E10" w:rsidP="009230B1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D059A2">
        <w:rPr>
          <w:sz w:val="24"/>
          <w:szCs w:val="24"/>
        </w:rPr>
        <w:lastRenderedPageBreak/>
        <w:t xml:space="preserve">Anche le </w:t>
      </w:r>
      <w:r w:rsidRPr="00A44D7B">
        <w:rPr>
          <w:sz w:val="24"/>
          <w:szCs w:val="24"/>
        </w:rPr>
        <w:t>curve dei ricoveri in ospedale</w:t>
      </w:r>
      <w:r w:rsidRPr="00D059A2">
        <w:rPr>
          <w:sz w:val="24"/>
          <w:szCs w:val="24"/>
        </w:rPr>
        <w:t xml:space="preserve"> si differenziano dalle curve dei contagi</w:t>
      </w:r>
      <w:r w:rsidR="00706184">
        <w:rPr>
          <w:sz w:val="24"/>
          <w:szCs w:val="24"/>
        </w:rPr>
        <w:t>,</w:t>
      </w:r>
      <w:r w:rsidRPr="00D059A2">
        <w:rPr>
          <w:sz w:val="24"/>
          <w:szCs w:val="24"/>
        </w:rPr>
        <w:t xml:space="preserve"> soprattutto nel corso dell</w:t>
      </w:r>
      <w:r w:rsidR="00706184">
        <w:rPr>
          <w:sz w:val="24"/>
          <w:szCs w:val="24"/>
        </w:rPr>
        <w:t>e</w:t>
      </w:r>
      <w:r>
        <w:rPr>
          <w:sz w:val="24"/>
          <w:szCs w:val="24"/>
        </w:rPr>
        <w:t xml:space="preserve"> ondat</w:t>
      </w:r>
      <w:r w:rsidR="00706184">
        <w:rPr>
          <w:sz w:val="24"/>
          <w:szCs w:val="24"/>
        </w:rPr>
        <w:t>e</w:t>
      </w:r>
      <w:r>
        <w:rPr>
          <w:sz w:val="24"/>
          <w:szCs w:val="24"/>
        </w:rPr>
        <w:t xml:space="preserve"> epidemic</w:t>
      </w:r>
      <w:r w:rsidR="00706184">
        <w:rPr>
          <w:sz w:val="24"/>
          <w:szCs w:val="24"/>
        </w:rPr>
        <w:t>he</w:t>
      </w:r>
      <w:r>
        <w:rPr>
          <w:sz w:val="24"/>
          <w:szCs w:val="24"/>
        </w:rPr>
        <w:t xml:space="preserve"> del 2022</w:t>
      </w:r>
      <w:r w:rsidRPr="00D059A2">
        <w:rPr>
          <w:sz w:val="24"/>
          <w:szCs w:val="24"/>
        </w:rPr>
        <w:t xml:space="preserve">. Nel dettaglio, infatti, la </w:t>
      </w:r>
      <w:r w:rsidRPr="00D059A2">
        <w:rPr>
          <w:b/>
          <w:sz w:val="24"/>
          <w:szCs w:val="24"/>
        </w:rPr>
        <w:t>figura 9</w:t>
      </w:r>
      <w:r w:rsidRPr="00D059A2">
        <w:rPr>
          <w:sz w:val="24"/>
          <w:szCs w:val="24"/>
        </w:rPr>
        <w:t xml:space="preserve"> mostra </w:t>
      </w:r>
      <w:r w:rsidRPr="00A44D7B">
        <w:rPr>
          <w:sz w:val="24"/>
          <w:szCs w:val="24"/>
          <w:u w:val="single"/>
        </w:rPr>
        <w:t>la percentuale di residenti SARS-CoV-2 positivi trasferiti settimanalmente in ospedale</w:t>
      </w:r>
      <w:r w:rsidR="00824C59">
        <w:rPr>
          <w:sz w:val="24"/>
          <w:szCs w:val="24"/>
          <w:u w:val="single"/>
        </w:rPr>
        <w:t>,</w:t>
      </w:r>
      <w:r w:rsidRPr="00D059A2">
        <w:rPr>
          <w:sz w:val="24"/>
          <w:szCs w:val="24"/>
        </w:rPr>
        <w:t xml:space="preserve"> rispetto al totale dei residenti in struttura. Seppure con alcune oscillazioni a inizio 2021, il grafico mostra un decremento continuo dell’indicatore, fino a raggiungere valori inferiori </w:t>
      </w:r>
      <w:r w:rsidRPr="00CC1BE9">
        <w:rPr>
          <w:sz w:val="24"/>
          <w:szCs w:val="24"/>
        </w:rPr>
        <w:t>allo 0,01%</w:t>
      </w:r>
      <w:r w:rsidRPr="004A348F">
        <w:rPr>
          <w:sz w:val="24"/>
          <w:szCs w:val="24"/>
        </w:rPr>
        <w:t xml:space="preserve"> </w:t>
      </w:r>
      <w:r w:rsidRPr="00D059A2">
        <w:rPr>
          <w:sz w:val="24"/>
          <w:szCs w:val="24"/>
        </w:rPr>
        <w:t xml:space="preserve">sia nelle strutture residenziali per anziani che in tutte le strutture residenziali durante il mese di giugno 2021. </w:t>
      </w:r>
      <w:r w:rsidR="00706184">
        <w:rPr>
          <w:sz w:val="24"/>
          <w:szCs w:val="24"/>
        </w:rPr>
        <w:t xml:space="preserve">Nella seconda metà del </w:t>
      </w:r>
      <w:r>
        <w:rPr>
          <w:sz w:val="24"/>
          <w:szCs w:val="24"/>
        </w:rPr>
        <w:t>2021</w:t>
      </w:r>
      <w:r w:rsidRPr="00D059A2">
        <w:rPr>
          <w:sz w:val="24"/>
          <w:szCs w:val="24"/>
        </w:rPr>
        <w:t xml:space="preserve"> si osserva un nuovo aumento nella percentuale dei residenti SARS-CoV-2 positivi trasferiti in ospedale, </w:t>
      </w:r>
      <w:r w:rsidRPr="00CC1BE9">
        <w:rPr>
          <w:sz w:val="24"/>
          <w:szCs w:val="24"/>
        </w:rPr>
        <w:t>con andamento altalenante</w:t>
      </w:r>
      <w:r w:rsidR="00824C59">
        <w:rPr>
          <w:sz w:val="24"/>
          <w:szCs w:val="24"/>
        </w:rPr>
        <w:t>,</w:t>
      </w:r>
      <w:r w:rsidRPr="00CC1BE9">
        <w:rPr>
          <w:sz w:val="24"/>
          <w:szCs w:val="24"/>
        </w:rPr>
        <w:t xml:space="preserve"> che scende di nuovo considerevolmente nel mese di novembre, risale da dicembre 2021 </w:t>
      </w:r>
      <w:r w:rsidR="00706184">
        <w:rPr>
          <w:sz w:val="24"/>
          <w:szCs w:val="24"/>
        </w:rPr>
        <w:t xml:space="preserve">e </w:t>
      </w:r>
      <w:r w:rsidRPr="00CC1BE9">
        <w:rPr>
          <w:sz w:val="24"/>
          <w:szCs w:val="24"/>
        </w:rPr>
        <w:t>raggiunge un picco</w:t>
      </w:r>
      <w:r w:rsidR="00706184">
        <w:rPr>
          <w:sz w:val="24"/>
          <w:szCs w:val="24"/>
        </w:rPr>
        <w:t xml:space="preserve"> a gennaio 2022</w:t>
      </w:r>
      <w:r w:rsidRPr="00CC1BE9">
        <w:rPr>
          <w:sz w:val="24"/>
          <w:szCs w:val="24"/>
        </w:rPr>
        <w:t xml:space="preserve"> dello 0,3</w:t>
      </w:r>
      <w:r w:rsidR="00706184">
        <w:rPr>
          <w:sz w:val="24"/>
          <w:szCs w:val="24"/>
        </w:rPr>
        <w:t>7</w:t>
      </w:r>
      <w:r w:rsidRPr="00CC1BE9">
        <w:rPr>
          <w:sz w:val="24"/>
          <w:szCs w:val="24"/>
        </w:rPr>
        <w:t>% nelle strutture per anziani e dello 0,2</w:t>
      </w:r>
      <w:r w:rsidR="00706184">
        <w:rPr>
          <w:sz w:val="24"/>
          <w:szCs w:val="24"/>
        </w:rPr>
        <w:t>8</w:t>
      </w:r>
      <w:r w:rsidRPr="00CC1BE9">
        <w:rPr>
          <w:sz w:val="24"/>
          <w:szCs w:val="24"/>
        </w:rPr>
        <w:t xml:space="preserve">% in tutte le strutture. </w:t>
      </w:r>
      <w:r w:rsidR="00706184">
        <w:rPr>
          <w:sz w:val="24"/>
          <w:szCs w:val="24"/>
        </w:rPr>
        <w:t xml:space="preserve">Il picco più elevato si osserva a marzo 2022, </w:t>
      </w:r>
      <w:r w:rsidR="00954485">
        <w:rPr>
          <w:sz w:val="24"/>
          <w:szCs w:val="24"/>
        </w:rPr>
        <w:t xml:space="preserve">quando la </w:t>
      </w:r>
      <w:r w:rsidR="00954485" w:rsidRPr="00D059A2">
        <w:rPr>
          <w:sz w:val="24"/>
          <w:szCs w:val="24"/>
        </w:rPr>
        <w:t>percentuale dei residenti SARS-CoV-2 positivi trasferiti</w:t>
      </w:r>
      <w:r w:rsidR="00BC2879">
        <w:rPr>
          <w:sz w:val="24"/>
          <w:szCs w:val="24"/>
        </w:rPr>
        <w:t xml:space="preserve"> settimanalmente</w:t>
      </w:r>
      <w:r w:rsidR="00954485" w:rsidRPr="00D059A2">
        <w:rPr>
          <w:sz w:val="24"/>
          <w:szCs w:val="24"/>
        </w:rPr>
        <w:t xml:space="preserve"> in ospedale</w:t>
      </w:r>
      <w:r w:rsidR="00954485">
        <w:rPr>
          <w:sz w:val="24"/>
          <w:szCs w:val="24"/>
        </w:rPr>
        <w:t xml:space="preserve"> è dello 0,6% nelle strutture residenziali per anzian</w:t>
      </w:r>
      <w:r w:rsidR="00824C59">
        <w:rPr>
          <w:sz w:val="24"/>
          <w:szCs w:val="24"/>
        </w:rPr>
        <w:t>i</w:t>
      </w:r>
      <w:r w:rsidR="00954485">
        <w:rPr>
          <w:sz w:val="24"/>
          <w:szCs w:val="24"/>
        </w:rPr>
        <w:t xml:space="preserve"> e dello 0,4% in tutte le strutture residenziali. </w:t>
      </w:r>
      <w:r w:rsidR="00824C59">
        <w:rPr>
          <w:sz w:val="24"/>
          <w:szCs w:val="24"/>
        </w:rPr>
        <w:t>Tornando</w:t>
      </w:r>
      <w:r w:rsidR="00954485">
        <w:rPr>
          <w:sz w:val="24"/>
          <w:szCs w:val="24"/>
        </w:rPr>
        <w:t xml:space="preserve"> poi a diminuire gradualmente, </w:t>
      </w:r>
      <w:r w:rsidR="00C91531">
        <w:rPr>
          <w:sz w:val="24"/>
          <w:szCs w:val="24"/>
        </w:rPr>
        <w:t xml:space="preserve">a </w:t>
      </w:r>
      <w:r w:rsidR="006A1194">
        <w:rPr>
          <w:sz w:val="24"/>
          <w:szCs w:val="24"/>
        </w:rPr>
        <w:t>settembre</w:t>
      </w:r>
      <w:r w:rsidR="00C91531">
        <w:rPr>
          <w:sz w:val="24"/>
          <w:szCs w:val="24"/>
        </w:rPr>
        <w:t xml:space="preserve"> 2022 </w:t>
      </w:r>
      <w:r w:rsidR="00954485">
        <w:rPr>
          <w:sz w:val="24"/>
          <w:szCs w:val="24"/>
        </w:rPr>
        <w:t xml:space="preserve">l’indicatore </w:t>
      </w:r>
      <w:r w:rsidR="006A1194">
        <w:rPr>
          <w:sz w:val="24"/>
          <w:szCs w:val="24"/>
        </w:rPr>
        <w:t>scende sotto lo 0,1%.</w:t>
      </w:r>
    </w:p>
    <w:p w14:paraId="6B79F10D" w14:textId="77777777" w:rsidR="00725E10" w:rsidRPr="00DE3CE6" w:rsidRDefault="00725E10" w:rsidP="006D3292">
      <w:pPr>
        <w:spacing w:after="0"/>
        <w:jc w:val="both"/>
        <w:rPr>
          <w:sz w:val="24"/>
          <w:szCs w:val="24"/>
        </w:rPr>
      </w:pPr>
    </w:p>
    <w:p w14:paraId="40216780" w14:textId="7A7A6F6E" w:rsidR="00725E10" w:rsidRPr="00DE3CE6" w:rsidRDefault="00725E10" w:rsidP="006F3F45">
      <w:pPr>
        <w:autoSpaceDE w:val="0"/>
        <w:autoSpaceDN w:val="0"/>
        <w:adjustRightInd w:val="0"/>
        <w:spacing w:line="240" w:lineRule="auto"/>
        <w:jc w:val="both"/>
      </w:pPr>
      <w:r w:rsidRPr="00651284">
        <w:rPr>
          <w:b/>
        </w:rPr>
        <w:t>Figura 9.</w:t>
      </w:r>
      <w:r w:rsidRPr="00651284">
        <w:t xml:space="preserve"> Percentuale di residenti SARS-CoV-2 positivi trasferiti in ospedale per settimana rispetto al totale dei residenti in struttura, nel periodo</w:t>
      </w:r>
      <w:r>
        <w:t xml:space="preserve"> 2</w:t>
      </w:r>
      <w:r w:rsidR="001A4684">
        <w:t>1</w:t>
      </w:r>
      <w:r>
        <w:t xml:space="preserve"> dicembre 2020 – </w:t>
      </w:r>
      <w:r w:rsidR="008D2110">
        <w:t>18 settembre</w:t>
      </w:r>
      <w:r>
        <w:t xml:space="preserve"> 2022.</w:t>
      </w:r>
      <w:r w:rsidRPr="00651284">
        <w:t xml:space="preserve"> </w:t>
      </w:r>
      <w:r w:rsidR="00824C59" w:rsidRPr="00290C49">
        <w:rPr>
          <w:rFonts w:cs="Calibri"/>
          <w:i/>
          <w:iCs/>
        </w:rPr>
        <w:t xml:space="preserve">La data sull’asse delle ascisse indica il </w:t>
      </w:r>
      <w:r w:rsidR="00DE29B1">
        <w:rPr>
          <w:rFonts w:cs="Calibri"/>
          <w:i/>
          <w:iCs/>
        </w:rPr>
        <w:t>vener</w:t>
      </w:r>
      <w:r w:rsidR="00824C59" w:rsidRPr="00290C49">
        <w:rPr>
          <w:rFonts w:cs="Calibri"/>
          <w:i/>
          <w:iCs/>
        </w:rPr>
        <w:t>dì di ciascuna settimana di monitoraggio</w:t>
      </w:r>
      <w:r w:rsidR="00824C59">
        <w:rPr>
          <w:rFonts w:cs="Calibri"/>
          <w:i/>
          <w:iCs/>
        </w:rPr>
        <w:t>; per motivi di leggibilità le etichette sono riportate bisettimanalmente</w:t>
      </w:r>
      <w:r w:rsidRPr="00651284">
        <w:rPr>
          <w:rFonts w:cs="Calibri"/>
          <w:i/>
        </w:rPr>
        <w:t>.</w:t>
      </w:r>
    </w:p>
    <w:p w14:paraId="5C8C6301" w14:textId="67DC8544" w:rsidR="00725E10" w:rsidRDefault="007E28A4" w:rsidP="00B174B9">
      <w:pPr>
        <w:jc w:val="both"/>
      </w:pPr>
      <w:r>
        <w:rPr>
          <w:noProof/>
        </w:rPr>
        <w:drawing>
          <wp:inline distT="0" distB="0" distL="0" distR="0" wp14:anchorId="36805EBC" wp14:editId="499AF0EC">
            <wp:extent cx="6071003" cy="4190400"/>
            <wp:effectExtent l="0" t="0" r="6350" b="63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03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FE79" w14:textId="2B026D61" w:rsidR="00725E10" w:rsidRPr="001033C6" w:rsidRDefault="00725E10" w:rsidP="000213BC">
      <w:pPr>
        <w:rPr>
          <w:color w:val="808080"/>
          <w:sz w:val="24"/>
          <w:szCs w:val="24"/>
        </w:rPr>
      </w:pPr>
      <w:r>
        <w:rPr>
          <w:sz w:val="24"/>
          <w:szCs w:val="24"/>
        </w:rPr>
        <w:br w:type="page"/>
      </w:r>
      <w:r w:rsidRPr="00EB7FE8">
        <w:rPr>
          <w:sz w:val="24"/>
          <w:szCs w:val="24"/>
        </w:rPr>
        <w:lastRenderedPageBreak/>
        <w:t xml:space="preserve">La </w:t>
      </w:r>
      <w:r w:rsidRPr="00EB7FE8">
        <w:rPr>
          <w:b/>
          <w:sz w:val="24"/>
          <w:szCs w:val="24"/>
        </w:rPr>
        <w:t>figura 10</w:t>
      </w:r>
      <w:r w:rsidRPr="00EB7FE8">
        <w:rPr>
          <w:sz w:val="24"/>
          <w:szCs w:val="24"/>
        </w:rPr>
        <w:t xml:space="preserve"> mostra </w:t>
      </w:r>
      <w:r w:rsidRPr="002D6386">
        <w:rPr>
          <w:sz w:val="24"/>
          <w:szCs w:val="24"/>
          <w:u w:val="single"/>
        </w:rPr>
        <w:t xml:space="preserve">l’andamento dei decessi per tutte le cause avvenuti </w:t>
      </w:r>
      <w:r w:rsidR="00DA1651">
        <w:rPr>
          <w:sz w:val="24"/>
          <w:szCs w:val="24"/>
          <w:u w:val="single"/>
        </w:rPr>
        <w:t xml:space="preserve">settimanalmente </w:t>
      </w:r>
      <w:r w:rsidRPr="002D6386">
        <w:rPr>
          <w:sz w:val="24"/>
          <w:szCs w:val="24"/>
          <w:u w:val="single"/>
        </w:rPr>
        <w:t>tra i residenti</w:t>
      </w:r>
      <w:r w:rsidRPr="00EB7FE8">
        <w:rPr>
          <w:sz w:val="24"/>
          <w:szCs w:val="24"/>
        </w:rPr>
        <w:t xml:space="preserve"> nel periodo in esame, sia nelle strutture che in ospedale</w:t>
      </w:r>
      <w:r w:rsidR="00DA1651">
        <w:rPr>
          <w:sz w:val="24"/>
          <w:szCs w:val="24"/>
        </w:rPr>
        <w:t>, rispetto al totale dei residenti in struttura</w:t>
      </w:r>
      <w:r w:rsidRPr="00EB7FE8">
        <w:rPr>
          <w:sz w:val="24"/>
          <w:szCs w:val="24"/>
        </w:rPr>
        <w:t xml:space="preserve">. I decessi risultano aumentare </w:t>
      </w:r>
      <w:r>
        <w:rPr>
          <w:sz w:val="24"/>
          <w:szCs w:val="24"/>
        </w:rPr>
        <w:t>ad inizio 2021,</w:t>
      </w:r>
      <w:r w:rsidRPr="00EB7FE8">
        <w:rPr>
          <w:sz w:val="24"/>
          <w:szCs w:val="24"/>
        </w:rPr>
        <w:t xml:space="preserve"> con un picco intorno all’1,3% in strutture per anziani non autosufficienti e allo 0,9% in tutte le strutture. Un calo nella percentuale d</w:t>
      </w:r>
      <w:r w:rsidR="00DA1651">
        <w:rPr>
          <w:sz w:val="24"/>
          <w:szCs w:val="24"/>
        </w:rPr>
        <w:t>e</w:t>
      </w:r>
      <w:r w:rsidRPr="00EB7FE8">
        <w:rPr>
          <w:sz w:val="24"/>
          <w:szCs w:val="24"/>
        </w:rPr>
        <w:t>i decessi complessivi si osserva tra la fine di gennaio e marzo; nei mesi successivi</w:t>
      </w:r>
      <w:r>
        <w:rPr>
          <w:sz w:val="24"/>
          <w:szCs w:val="24"/>
        </w:rPr>
        <w:t xml:space="preserve"> </w:t>
      </w:r>
      <w:r w:rsidR="00755280">
        <w:rPr>
          <w:sz w:val="24"/>
          <w:szCs w:val="24"/>
        </w:rPr>
        <w:t>del 2021</w:t>
      </w:r>
      <w:r>
        <w:rPr>
          <w:sz w:val="24"/>
          <w:szCs w:val="24"/>
        </w:rPr>
        <w:t xml:space="preserve">e </w:t>
      </w:r>
      <w:r w:rsidR="00755280">
        <w:rPr>
          <w:sz w:val="24"/>
          <w:szCs w:val="24"/>
        </w:rPr>
        <w:t xml:space="preserve">durante il </w:t>
      </w:r>
      <w:r>
        <w:rPr>
          <w:sz w:val="24"/>
          <w:szCs w:val="24"/>
        </w:rPr>
        <w:t>2022</w:t>
      </w:r>
      <w:r w:rsidRPr="00EB7FE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le curve mostrano una </w:t>
      </w:r>
      <w:r w:rsidR="00DA1651">
        <w:rPr>
          <w:sz w:val="24"/>
          <w:szCs w:val="24"/>
        </w:rPr>
        <w:t xml:space="preserve">certa </w:t>
      </w:r>
      <w:r>
        <w:rPr>
          <w:sz w:val="24"/>
          <w:szCs w:val="24"/>
        </w:rPr>
        <w:t xml:space="preserve">stabilità, </w:t>
      </w:r>
      <w:r w:rsidRPr="00EB7FE8">
        <w:rPr>
          <w:sz w:val="24"/>
          <w:szCs w:val="24"/>
        </w:rPr>
        <w:t>pur con</w:t>
      </w:r>
      <w:r>
        <w:rPr>
          <w:sz w:val="24"/>
          <w:szCs w:val="24"/>
        </w:rPr>
        <w:t xml:space="preserve"> alcune</w:t>
      </w:r>
      <w:r w:rsidRPr="00EB7FE8">
        <w:rPr>
          <w:sz w:val="24"/>
          <w:szCs w:val="24"/>
        </w:rPr>
        <w:t xml:space="preserve"> oscillazioni, a</w:t>
      </w:r>
      <w:r w:rsidR="00DA1651">
        <w:rPr>
          <w:sz w:val="24"/>
          <w:szCs w:val="24"/>
        </w:rPr>
        <w:t>tt</w:t>
      </w:r>
      <w:r w:rsidRPr="00EB7FE8">
        <w:rPr>
          <w:sz w:val="24"/>
          <w:szCs w:val="24"/>
        </w:rPr>
        <w:t>estan</w:t>
      </w:r>
      <w:r>
        <w:rPr>
          <w:sz w:val="24"/>
          <w:szCs w:val="24"/>
        </w:rPr>
        <w:t>dosi</w:t>
      </w:r>
      <w:r w:rsidRPr="00EB7FE8">
        <w:rPr>
          <w:sz w:val="24"/>
          <w:szCs w:val="24"/>
        </w:rPr>
        <w:t xml:space="preserve"> intorno a valori medi </w:t>
      </w:r>
      <w:r>
        <w:rPr>
          <w:sz w:val="24"/>
          <w:szCs w:val="24"/>
        </w:rPr>
        <w:t xml:space="preserve">dello </w:t>
      </w:r>
      <w:r w:rsidRPr="00CC1BE9">
        <w:rPr>
          <w:sz w:val="24"/>
          <w:szCs w:val="24"/>
        </w:rPr>
        <w:t>0,8% per i residenti in strutture per anziani e dello 0,5%</w:t>
      </w:r>
      <w:r w:rsidRPr="00CC1BE9">
        <w:rPr>
          <w:color w:val="FF0000"/>
          <w:sz w:val="24"/>
          <w:szCs w:val="24"/>
        </w:rPr>
        <w:t xml:space="preserve"> </w:t>
      </w:r>
      <w:r w:rsidRPr="00CC1BE9">
        <w:rPr>
          <w:sz w:val="24"/>
          <w:szCs w:val="24"/>
        </w:rPr>
        <w:t xml:space="preserve">per i residenti in tutte le strutture. </w:t>
      </w:r>
      <w:r w:rsidR="00BD3634">
        <w:rPr>
          <w:sz w:val="24"/>
          <w:szCs w:val="24"/>
        </w:rPr>
        <w:t>U</w:t>
      </w:r>
      <w:r w:rsidR="00755280">
        <w:rPr>
          <w:sz w:val="24"/>
          <w:szCs w:val="24"/>
        </w:rPr>
        <w:t>n picco relativo si osserva nel luglio 2022, con una percentuale di decessi complessivi d</w:t>
      </w:r>
      <w:r w:rsidR="00DE29B1">
        <w:rPr>
          <w:sz w:val="24"/>
          <w:szCs w:val="24"/>
        </w:rPr>
        <w:t>ell’</w:t>
      </w:r>
      <w:r w:rsidR="00755280">
        <w:rPr>
          <w:sz w:val="24"/>
          <w:szCs w:val="24"/>
        </w:rPr>
        <w:t xml:space="preserve">1,1% nelle </w:t>
      </w:r>
      <w:r w:rsidR="00755280" w:rsidRPr="00CC1BE9">
        <w:rPr>
          <w:sz w:val="24"/>
          <w:szCs w:val="24"/>
        </w:rPr>
        <w:t>strutture per anziani</w:t>
      </w:r>
      <w:r w:rsidR="00755280">
        <w:rPr>
          <w:sz w:val="24"/>
          <w:szCs w:val="24"/>
        </w:rPr>
        <w:t xml:space="preserve"> e d</w:t>
      </w:r>
      <w:r w:rsidR="00DE29B1">
        <w:rPr>
          <w:sz w:val="24"/>
          <w:szCs w:val="24"/>
        </w:rPr>
        <w:t xml:space="preserve">ello </w:t>
      </w:r>
      <w:r w:rsidR="00755280">
        <w:rPr>
          <w:sz w:val="24"/>
          <w:szCs w:val="24"/>
        </w:rPr>
        <w:t xml:space="preserve">0,8% </w:t>
      </w:r>
      <w:r w:rsidR="00BD3634">
        <w:rPr>
          <w:sz w:val="24"/>
          <w:szCs w:val="24"/>
        </w:rPr>
        <w:t xml:space="preserve">in tutte le strutture, mentre </w:t>
      </w:r>
      <w:r w:rsidR="006A1194">
        <w:rPr>
          <w:sz w:val="24"/>
          <w:szCs w:val="24"/>
        </w:rPr>
        <w:t>dalla</w:t>
      </w:r>
      <w:r w:rsidR="006A1194" w:rsidRPr="00CC1BE9">
        <w:rPr>
          <w:sz w:val="24"/>
          <w:szCs w:val="24"/>
        </w:rPr>
        <w:t xml:space="preserve"> </w:t>
      </w:r>
      <w:r w:rsidRPr="00CC1BE9">
        <w:rPr>
          <w:sz w:val="24"/>
          <w:szCs w:val="24"/>
        </w:rPr>
        <w:t xml:space="preserve">seconda metà di </w:t>
      </w:r>
      <w:r w:rsidR="00BD3634">
        <w:rPr>
          <w:sz w:val="24"/>
          <w:szCs w:val="24"/>
        </w:rPr>
        <w:t>agosto</w:t>
      </w:r>
      <w:r w:rsidRPr="00CC1BE9">
        <w:rPr>
          <w:sz w:val="24"/>
          <w:szCs w:val="24"/>
        </w:rPr>
        <w:t xml:space="preserve"> </w:t>
      </w:r>
      <w:r w:rsidR="00BD3634">
        <w:rPr>
          <w:sz w:val="24"/>
          <w:szCs w:val="24"/>
        </w:rPr>
        <w:t>scendono</w:t>
      </w:r>
      <w:r w:rsidRPr="00CC1BE9">
        <w:rPr>
          <w:sz w:val="24"/>
          <w:szCs w:val="24"/>
        </w:rPr>
        <w:t xml:space="preserve"> rispettivamente</w:t>
      </w:r>
      <w:r w:rsidR="00BD3634">
        <w:rPr>
          <w:sz w:val="24"/>
          <w:szCs w:val="24"/>
        </w:rPr>
        <w:t xml:space="preserve"> </w:t>
      </w:r>
      <w:r w:rsidR="006A1194">
        <w:rPr>
          <w:sz w:val="24"/>
          <w:szCs w:val="24"/>
        </w:rPr>
        <w:t>sotto lo</w:t>
      </w:r>
      <w:r w:rsidR="00BD3634">
        <w:rPr>
          <w:sz w:val="24"/>
          <w:szCs w:val="24"/>
        </w:rPr>
        <w:t xml:space="preserve"> 0,8% e </w:t>
      </w:r>
      <w:r w:rsidR="006A1194">
        <w:rPr>
          <w:sz w:val="24"/>
          <w:szCs w:val="24"/>
        </w:rPr>
        <w:t xml:space="preserve">lo </w:t>
      </w:r>
      <w:r w:rsidR="00BD3634">
        <w:rPr>
          <w:sz w:val="24"/>
          <w:szCs w:val="24"/>
        </w:rPr>
        <w:t>0,5%.</w:t>
      </w:r>
    </w:p>
    <w:p w14:paraId="34C02819" w14:textId="77777777" w:rsidR="00725E10" w:rsidRDefault="00725E10" w:rsidP="00E933D2">
      <w:pPr>
        <w:spacing w:after="0"/>
        <w:jc w:val="both"/>
        <w:rPr>
          <w:sz w:val="24"/>
          <w:szCs w:val="24"/>
        </w:rPr>
      </w:pPr>
    </w:p>
    <w:p w14:paraId="4ACF1349" w14:textId="31A4AE45" w:rsidR="00725E10" w:rsidRPr="005220E3" w:rsidRDefault="00725E10" w:rsidP="005220E3">
      <w:pPr>
        <w:jc w:val="both"/>
      </w:pPr>
      <w:r w:rsidRPr="00651284">
        <w:rPr>
          <w:b/>
        </w:rPr>
        <w:t>Figura 10.</w:t>
      </w:r>
      <w:r w:rsidRPr="00651284">
        <w:t xml:space="preserve"> Percentuale dei decessi settimanali per tutte le cause avvenuti tra i residenti in struttura o dopo il trasferimento in ospedale, nel periodo</w:t>
      </w:r>
      <w:r>
        <w:t xml:space="preserve"> 2</w:t>
      </w:r>
      <w:r w:rsidR="001A4684">
        <w:t>1</w:t>
      </w:r>
      <w:r>
        <w:t xml:space="preserve"> dicembre 2020 – </w:t>
      </w:r>
      <w:r w:rsidR="008D2110">
        <w:t>18 settembre</w:t>
      </w:r>
      <w:r>
        <w:t xml:space="preserve"> 2022</w:t>
      </w:r>
      <w:r w:rsidR="00DE29B1">
        <w:t>.</w:t>
      </w:r>
      <w:r w:rsidR="00DE29B1" w:rsidRPr="00DE29B1">
        <w:rPr>
          <w:rFonts w:cs="Calibri"/>
          <w:i/>
          <w:iCs/>
        </w:rPr>
        <w:t xml:space="preserve"> </w:t>
      </w:r>
      <w:r w:rsidR="00DE29B1" w:rsidRPr="00290C49">
        <w:rPr>
          <w:rFonts w:cs="Calibri"/>
          <w:i/>
          <w:iCs/>
        </w:rPr>
        <w:t xml:space="preserve">La data sull’asse delle ascisse indica il </w:t>
      </w:r>
      <w:r w:rsidR="00DE29B1">
        <w:rPr>
          <w:rFonts w:cs="Calibri"/>
          <w:i/>
          <w:iCs/>
        </w:rPr>
        <w:t>vener</w:t>
      </w:r>
      <w:r w:rsidR="00DE29B1" w:rsidRPr="00290C49">
        <w:rPr>
          <w:rFonts w:cs="Calibri"/>
          <w:i/>
          <w:iCs/>
        </w:rPr>
        <w:t>dì di ciascuna settimana di monitoraggio</w:t>
      </w:r>
      <w:r w:rsidR="00DE29B1">
        <w:rPr>
          <w:rFonts w:cs="Calibri"/>
          <w:i/>
          <w:iCs/>
        </w:rPr>
        <w:t>; per motivi di leggibilità le etichette sono riportate bisettimanalmente</w:t>
      </w:r>
      <w:r w:rsidRPr="00651284">
        <w:rPr>
          <w:rFonts w:cs="Calibri"/>
          <w:i/>
        </w:rPr>
        <w:t>.</w:t>
      </w:r>
    </w:p>
    <w:p w14:paraId="0523A6F3" w14:textId="71B743B1" w:rsidR="00725E10" w:rsidRDefault="007E28A4" w:rsidP="00AF1969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132ED24" wp14:editId="2188996E">
            <wp:extent cx="6071003" cy="4190400"/>
            <wp:effectExtent l="0" t="0" r="6350" b="63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03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3B4E" w14:textId="0F053C46" w:rsidR="00725E10" w:rsidRPr="005B44EA" w:rsidRDefault="00725E10" w:rsidP="00764CF6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Nella</w:t>
      </w:r>
      <w:r w:rsidRPr="005B44EA">
        <w:rPr>
          <w:sz w:val="24"/>
          <w:szCs w:val="24"/>
        </w:rPr>
        <w:t xml:space="preserve"> </w:t>
      </w:r>
      <w:r w:rsidRPr="005B44EA">
        <w:rPr>
          <w:b/>
          <w:sz w:val="24"/>
          <w:szCs w:val="24"/>
        </w:rPr>
        <w:t>figura 11</w:t>
      </w:r>
      <w:r w:rsidRPr="005B44EA">
        <w:rPr>
          <w:sz w:val="24"/>
          <w:szCs w:val="24"/>
        </w:rPr>
        <w:t xml:space="preserve"> è riportato l’andamento della </w:t>
      </w:r>
      <w:r w:rsidRPr="005B44EA">
        <w:rPr>
          <w:sz w:val="24"/>
          <w:szCs w:val="24"/>
          <w:u w:val="single"/>
        </w:rPr>
        <w:t xml:space="preserve">percentuale dei decessi </w:t>
      </w:r>
      <w:r w:rsidR="00DE29B1">
        <w:rPr>
          <w:sz w:val="24"/>
          <w:szCs w:val="24"/>
          <w:u w:val="single"/>
        </w:rPr>
        <w:t xml:space="preserve">settimanali </w:t>
      </w:r>
      <w:r w:rsidRPr="005B44EA">
        <w:rPr>
          <w:sz w:val="24"/>
          <w:szCs w:val="24"/>
          <w:u w:val="single"/>
        </w:rPr>
        <w:t>di pazienti SARS-CoV-2 positivi avvenuti nelle strutture</w:t>
      </w:r>
      <w:r w:rsidRPr="005B44EA">
        <w:rPr>
          <w:sz w:val="24"/>
          <w:szCs w:val="24"/>
        </w:rPr>
        <w:t xml:space="preserve"> residenziali (non include quindi i decessi verificatisi dopo il trasferimento in ospedale)</w:t>
      </w:r>
      <w:r w:rsidR="00DE29B1">
        <w:rPr>
          <w:sz w:val="24"/>
          <w:szCs w:val="24"/>
        </w:rPr>
        <w:t>,</w:t>
      </w:r>
      <w:r w:rsidRPr="005B44EA">
        <w:rPr>
          <w:sz w:val="24"/>
          <w:szCs w:val="24"/>
        </w:rPr>
        <w:t xml:space="preserve"> in rapporto al totale dei residenti. Le curve mostrano, sia per i soli residenti di strutture per anziani non autosufficienti che per i residenti di tutte le strutture, un picco intorno allo 0,4% a gennaio 2021, che per i soli residenti di strutture per anziani si replica a fine febbraio, e un picco intorno allo 0,2% nella prima metà di aprile</w:t>
      </w:r>
      <w:r>
        <w:rPr>
          <w:sz w:val="24"/>
          <w:szCs w:val="24"/>
        </w:rPr>
        <w:t xml:space="preserve"> 2021. </w:t>
      </w:r>
      <w:r w:rsidR="003F51F2">
        <w:rPr>
          <w:sz w:val="24"/>
          <w:szCs w:val="24"/>
        </w:rPr>
        <w:t>D</w:t>
      </w:r>
      <w:r w:rsidRPr="005B44EA">
        <w:rPr>
          <w:sz w:val="24"/>
          <w:szCs w:val="24"/>
        </w:rPr>
        <w:t xml:space="preserve">alla metà di aprile in poi, la percentuale di decessi scende a valori molto bassi </w:t>
      </w:r>
      <w:r w:rsidR="00764CF6">
        <w:rPr>
          <w:sz w:val="24"/>
          <w:szCs w:val="24"/>
        </w:rPr>
        <w:t xml:space="preserve">(al di sotto dello 0,1%) </w:t>
      </w:r>
      <w:r w:rsidRPr="005B44EA">
        <w:rPr>
          <w:sz w:val="24"/>
          <w:szCs w:val="24"/>
        </w:rPr>
        <w:t xml:space="preserve">sui quali si mantiene anche </w:t>
      </w:r>
      <w:r w:rsidR="003F51F2">
        <w:rPr>
          <w:sz w:val="24"/>
          <w:szCs w:val="24"/>
        </w:rPr>
        <w:t xml:space="preserve">a </w:t>
      </w:r>
      <w:r>
        <w:rPr>
          <w:sz w:val="24"/>
          <w:szCs w:val="24"/>
        </w:rPr>
        <w:t>dicembre 2021</w:t>
      </w:r>
      <w:r w:rsidR="00317371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317371">
        <w:rPr>
          <w:sz w:val="24"/>
          <w:szCs w:val="24"/>
        </w:rPr>
        <w:t>la percentuale</w:t>
      </w:r>
      <w:r w:rsidR="00764CF6">
        <w:rPr>
          <w:sz w:val="24"/>
          <w:szCs w:val="24"/>
        </w:rPr>
        <w:t xml:space="preserve"> resta bassa anche nel corso del </w:t>
      </w:r>
      <w:r>
        <w:rPr>
          <w:sz w:val="24"/>
          <w:szCs w:val="24"/>
        </w:rPr>
        <w:t>2022</w:t>
      </w:r>
      <w:r w:rsidRPr="005B44EA">
        <w:rPr>
          <w:sz w:val="24"/>
          <w:szCs w:val="24"/>
        </w:rPr>
        <w:t xml:space="preserve"> </w:t>
      </w:r>
      <w:r>
        <w:rPr>
          <w:sz w:val="24"/>
          <w:szCs w:val="24"/>
        </w:rPr>
        <w:t>(al di sotto dello 0,1</w:t>
      </w:r>
      <w:r w:rsidR="00764CF6">
        <w:rPr>
          <w:sz w:val="24"/>
          <w:szCs w:val="24"/>
        </w:rPr>
        <w:t>5</w:t>
      </w:r>
      <w:r>
        <w:rPr>
          <w:sz w:val="24"/>
          <w:szCs w:val="24"/>
        </w:rPr>
        <w:t>%)</w:t>
      </w:r>
      <w:r w:rsidR="00764CF6">
        <w:rPr>
          <w:sz w:val="24"/>
          <w:szCs w:val="24"/>
        </w:rPr>
        <w:t xml:space="preserve">, </w:t>
      </w:r>
      <w:r w:rsidR="00DE29B1">
        <w:rPr>
          <w:sz w:val="24"/>
          <w:szCs w:val="24"/>
        </w:rPr>
        <w:t xml:space="preserve">anche </w:t>
      </w:r>
      <w:r w:rsidR="00764CF6">
        <w:rPr>
          <w:sz w:val="24"/>
          <w:szCs w:val="24"/>
        </w:rPr>
        <w:t>nei periodi</w:t>
      </w:r>
      <w:r>
        <w:rPr>
          <w:sz w:val="24"/>
          <w:szCs w:val="24"/>
        </w:rPr>
        <w:t xml:space="preserve"> in cui</w:t>
      </w:r>
      <w:r w:rsidRPr="005B44EA">
        <w:rPr>
          <w:sz w:val="24"/>
          <w:szCs w:val="24"/>
        </w:rPr>
        <w:t xml:space="preserve"> i contagi raggiungono invece percentuali molto elevate tra i residenti. </w:t>
      </w:r>
    </w:p>
    <w:p w14:paraId="06D40637" w14:textId="77777777" w:rsidR="00725E10" w:rsidRDefault="00725E10" w:rsidP="00B174B9">
      <w:pPr>
        <w:jc w:val="both"/>
        <w:rPr>
          <w:b/>
          <w:sz w:val="24"/>
          <w:szCs w:val="24"/>
        </w:rPr>
      </w:pPr>
    </w:p>
    <w:p w14:paraId="0EFF2E98" w14:textId="408231DD" w:rsidR="00725E10" w:rsidRPr="008C1334" w:rsidRDefault="00725E10" w:rsidP="008C1334">
      <w:pPr>
        <w:jc w:val="both"/>
      </w:pPr>
      <w:r w:rsidRPr="00651284">
        <w:rPr>
          <w:b/>
        </w:rPr>
        <w:t>Figura 11.</w:t>
      </w:r>
      <w:r w:rsidRPr="00651284">
        <w:t xml:space="preserve"> Percentuale dei decessi </w:t>
      </w:r>
      <w:r w:rsidR="00DE29B1">
        <w:t xml:space="preserve">settimanali </w:t>
      </w:r>
      <w:r w:rsidRPr="00651284">
        <w:t xml:space="preserve">in </w:t>
      </w:r>
      <w:r>
        <w:t>residenti</w:t>
      </w:r>
      <w:r w:rsidRPr="00651284">
        <w:t xml:space="preserve"> SARS-CoV-2 positivi avvenuti in struttura in rapporto al totale dei residenti, nel periodo</w:t>
      </w:r>
      <w:r>
        <w:t xml:space="preserve"> 2</w:t>
      </w:r>
      <w:r w:rsidR="001A4684">
        <w:t>1</w:t>
      </w:r>
      <w:r>
        <w:t xml:space="preserve"> dicembre 2020 – </w:t>
      </w:r>
      <w:r w:rsidR="008D2110">
        <w:t>18 settembre</w:t>
      </w:r>
      <w:r>
        <w:t xml:space="preserve"> 2022.</w:t>
      </w:r>
      <w:r w:rsidRPr="00651284">
        <w:t xml:space="preserve"> </w:t>
      </w:r>
      <w:r w:rsidR="00DE29B1" w:rsidRPr="00290C49">
        <w:rPr>
          <w:rFonts w:cs="Calibri"/>
          <w:i/>
          <w:iCs/>
        </w:rPr>
        <w:t xml:space="preserve">La data sull’asse delle ascisse indica il </w:t>
      </w:r>
      <w:r w:rsidR="00DE29B1">
        <w:rPr>
          <w:rFonts w:cs="Calibri"/>
          <w:i/>
          <w:iCs/>
        </w:rPr>
        <w:t>vener</w:t>
      </w:r>
      <w:r w:rsidR="00DE29B1" w:rsidRPr="00290C49">
        <w:rPr>
          <w:rFonts w:cs="Calibri"/>
          <w:i/>
          <w:iCs/>
        </w:rPr>
        <w:t>dì di ciascuna settimana di monitoraggio</w:t>
      </w:r>
      <w:r w:rsidR="00DE29B1">
        <w:rPr>
          <w:rFonts w:cs="Calibri"/>
          <w:i/>
          <w:iCs/>
        </w:rPr>
        <w:t>; per motivi di leggibilità le etichette sono riportate bisettimanalmente</w:t>
      </w:r>
      <w:r w:rsidRPr="00651284">
        <w:rPr>
          <w:rFonts w:cs="Calibri"/>
          <w:i/>
        </w:rPr>
        <w:t>.</w:t>
      </w:r>
    </w:p>
    <w:p w14:paraId="6EAB430D" w14:textId="26E16021" w:rsidR="00725E10" w:rsidRDefault="007E28A4" w:rsidP="008C0106">
      <w:pPr>
        <w:jc w:val="both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284FC59D" wp14:editId="774FCB64">
            <wp:extent cx="6031552" cy="4190400"/>
            <wp:effectExtent l="0" t="0" r="7620" b="63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52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2EA7" w14:textId="77777777" w:rsidR="00725E10" w:rsidRDefault="00725E10" w:rsidP="008C0106">
      <w:pPr>
        <w:jc w:val="both"/>
        <w:rPr>
          <w:rFonts w:cs="Calibri"/>
          <w:sz w:val="24"/>
          <w:szCs w:val="24"/>
        </w:rPr>
      </w:pPr>
    </w:p>
    <w:p w14:paraId="756289EB" w14:textId="77777777" w:rsidR="00725E10" w:rsidRDefault="00725E10" w:rsidP="008C0106">
      <w:pPr>
        <w:jc w:val="both"/>
        <w:rPr>
          <w:rFonts w:cs="Calibri"/>
          <w:sz w:val="24"/>
          <w:szCs w:val="24"/>
        </w:rPr>
      </w:pPr>
    </w:p>
    <w:p w14:paraId="40233577" w14:textId="06EE9BCE" w:rsidR="00725E10" w:rsidRDefault="00725E10" w:rsidP="00853034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  <w:r w:rsidRPr="004976F0">
        <w:rPr>
          <w:rFonts w:cs="Calibri"/>
          <w:sz w:val="24"/>
          <w:szCs w:val="24"/>
        </w:rPr>
        <w:lastRenderedPageBreak/>
        <w:t xml:space="preserve">L’esito della campagna vaccinale presso le strutture partecipanti alla Sorveglianza, il cui impatto è mostrato nella figura precedente, è riportato in dettaglio nella </w:t>
      </w:r>
      <w:r w:rsidRPr="004976F0">
        <w:rPr>
          <w:rFonts w:cs="Calibri"/>
          <w:b/>
          <w:sz w:val="24"/>
          <w:szCs w:val="24"/>
        </w:rPr>
        <w:t>figura 12,</w:t>
      </w:r>
      <w:r w:rsidRPr="004976F0">
        <w:rPr>
          <w:rFonts w:cs="Calibri"/>
          <w:sz w:val="24"/>
          <w:szCs w:val="24"/>
        </w:rPr>
        <w:t xml:space="preserve"> che mostra la </w:t>
      </w:r>
      <w:r w:rsidRPr="004976F0">
        <w:rPr>
          <w:rFonts w:cs="Calibri"/>
          <w:sz w:val="24"/>
          <w:szCs w:val="24"/>
          <w:u w:val="single"/>
        </w:rPr>
        <w:t>prevalenza di residenti vaccinati per SARS-CoV-2</w:t>
      </w:r>
      <w:r w:rsidRPr="004976F0">
        <w:rPr>
          <w:rFonts w:cs="Calibri"/>
          <w:sz w:val="24"/>
          <w:szCs w:val="24"/>
        </w:rPr>
        <w:t xml:space="preserve"> con ciclo completo nelle strutture residenziali (dato disponibile a partire dal 26 aprile 2021). Si intendono vaccinati con ciclo completo coloro che hanno ricevuto due dosi (per i vaccini che le prevedono), oppure che hanno ricevuto una sola dose perché precedentemente contagiati, o che, a partire da settembre 2021, abbiano ricevuto la dose </w:t>
      </w:r>
      <w:r>
        <w:rPr>
          <w:rFonts w:cs="Calibri"/>
          <w:sz w:val="24"/>
          <w:szCs w:val="24"/>
        </w:rPr>
        <w:t xml:space="preserve">di richiamo </w:t>
      </w:r>
      <w:r w:rsidRPr="004976F0">
        <w:rPr>
          <w:rFonts w:cs="Calibri"/>
          <w:sz w:val="24"/>
          <w:szCs w:val="24"/>
        </w:rPr>
        <w:t xml:space="preserve">booster. </w:t>
      </w:r>
      <w:r w:rsidR="00853034">
        <w:t>È</w:t>
      </w:r>
      <w:r w:rsidR="00853034">
        <w:rPr>
          <w:rFonts w:cs="Calibri"/>
          <w:sz w:val="24"/>
          <w:szCs w:val="24"/>
        </w:rPr>
        <w:t xml:space="preserve"> inoltre riportato separatamente il </w:t>
      </w:r>
      <w:r w:rsidRPr="004976F0">
        <w:rPr>
          <w:rFonts w:cs="Calibri"/>
          <w:sz w:val="24"/>
          <w:szCs w:val="24"/>
        </w:rPr>
        <w:t>dato relativo alla sola vaccinazione con</w:t>
      </w:r>
      <w:r w:rsidR="00853034">
        <w:rPr>
          <w:rFonts w:cs="Calibri"/>
          <w:sz w:val="24"/>
          <w:szCs w:val="24"/>
        </w:rPr>
        <w:t xml:space="preserve"> una o più dosi booster</w:t>
      </w:r>
      <w:r w:rsidRPr="004976F0">
        <w:rPr>
          <w:rFonts w:cs="Calibri"/>
          <w:sz w:val="24"/>
          <w:szCs w:val="24"/>
        </w:rPr>
        <w:t xml:space="preserve"> (dato disponibile dal 4 ottobre 2021). Come si può notare, a inizio giugno</w:t>
      </w:r>
      <w:r>
        <w:rPr>
          <w:rFonts w:cs="Calibri"/>
          <w:sz w:val="24"/>
          <w:szCs w:val="24"/>
        </w:rPr>
        <w:t xml:space="preserve"> </w:t>
      </w:r>
      <w:r w:rsidRPr="004976F0">
        <w:rPr>
          <w:rFonts w:cs="Calibri"/>
          <w:sz w:val="24"/>
          <w:szCs w:val="24"/>
        </w:rPr>
        <w:t xml:space="preserve">2021 la percentuale dei vaccinati a ciclo completo presso le strutture residenziali per anziani non autosufficienti aveva già superato il 90%; stesso valore è stato raggiunto e superato da tutte le strutture nell’arco dello stesso mese. Entrambe le curve si sono poi attestate su un plateau molto elevato, intorno al </w:t>
      </w:r>
      <w:r w:rsidRPr="00CC1BE9">
        <w:rPr>
          <w:rFonts w:cs="Calibri"/>
          <w:sz w:val="24"/>
          <w:szCs w:val="24"/>
        </w:rPr>
        <w:t>97%. Le curve relative alla vaccinazione booster sono salite molto rapidamente</w:t>
      </w:r>
      <w:r w:rsidR="00853034">
        <w:rPr>
          <w:rFonts w:cs="Calibri"/>
          <w:sz w:val="24"/>
          <w:szCs w:val="24"/>
        </w:rPr>
        <w:t>,</w:t>
      </w:r>
      <w:r w:rsidRPr="00CC1BE9">
        <w:rPr>
          <w:rFonts w:cs="Calibri"/>
          <w:sz w:val="24"/>
          <w:szCs w:val="24"/>
        </w:rPr>
        <w:t xml:space="preserve"> raggiungendo e superando l’80% in</w:t>
      </w:r>
      <w:r w:rsidRPr="004976F0">
        <w:rPr>
          <w:rFonts w:cs="Calibri"/>
          <w:sz w:val="24"/>
          <w:szCs w:val="24"/>
        </w:rPr>
        <w:t xml:space="preserve"> meno di 3 mesi dall’inizio della vaccinazion</w:t>
      </w:r>
      <w:r>
        <w:rPr>
          <w:rFonts w:cs="Calibri"/>
          <w:sz w:val="24"/>
          <w:szCs w:val="24"/>
        </w:rPr>
        <w:t>e</w:t>
      </w:r>
      <w:r w:rsidRPr="004976F0">
        <w:rPr>
          <w:rFonts w:cs="Calibri"/>
          <w:sz w:val="24"/>
          <w:szCs w:val="24"/>
        </w:rPr>
        <w:t>.</w:t>
      </w:r>
      <w:r w:rsidR="00853034">
        <w:rPr>
          <w:rFonts w:cs="Calibri"/>
          <w:sz w:val="24"/>
          <w:szCs w:val="24"/>
        </w:rPr>
        <w:t xml:space="preserve"> A</w:t>
      </w:r>
      <w:r w:rsidR="00221B00">
        <w:rPr>
          <w:rFonts w:cs="Calibri"/>
          <w:sz w:val="24"/>
          <w:szCs w:val="24"/>
        </w:rPr>
        <w:t>lla data di redazione del report</w:t>
      </w:r>
      <w:r w:rsidR="00853034">
        <w:rPr>
          <w:rFonts w:cs="Calibri"/>
          <w:sz w:val="24"/>
          <w:szCs w:val="24"/>
        </w:rPr>
        <w:t xml:space="preserve">, considerando la totalità delle strutture residenziali partecipanti, </w:t>
      </w:r>
      <w:r w:rsidR="00853034" w:rsidRPr="004976F0">
        <w:rPr>
          <w:rFonts w:cs="Calibri"/>
          <w:sz w:val="24"/>
          <w:szCs w:val="24"/>
        </w:rPr>
        <w:t>la percentuale di</w:t>
      </w:r>
      <w:r w:rsidR="00853034">
        <w:rPr>
          <w:rFonts w:cs="Calibri"/>
          <w:sz w:val="24"/>
          <w:szCs w:val="24"/>
        </w:rPr>
        <w:t xml:space="preserve"> residenti</w:t>
      </w:r>
      <w:r w:rsidR="00853034" w:rsidRPr="004976F0">
        <w:rPr>
          <w:rFonts w:cs="Calibri"/>
          <w:sz w:val="24"/>
          <w:szCs w:val="24"/>
        </w:rPr>
        <w:t xml:space="preserve"> vaccinati a ciclo completo</w:t>
      </w:r>
      <w:r w:rsidR="00853034">
        <w:rPr>
          <w:rFonts w:cs="Calibri"/>
          <w:sz w:val="24"/>
          <w:szCs w:val="24"/>
        </w:rPr>
        <w:t xml:space="preserve"> è circa del 98% e la percentuale di residenti vaccinati anche con una o più dosi booster è del 93%.</w:t>
      </w:r>
    </w:p>
    <w:p w14:paraId="21C6D9D1" w14:textId="77777777" w:rsidR="00725E10" w:rsidRPr="004976F0" w:rsidRDefault="00725E10" w:rsidP="008C0106">
      <w:pPr>
        <w:jc w:val="both"/>
        <w:rPr>
          <w:sz w:val="24"/>
          <w:szCs w:val="24"/>
        </w:rPr>
      </w:pPr>
    </w:p>
    <w:p w14:paraId="649EFA9E" w14:textId="21AF4627" w:rsidR="00725E10" w:rsidRPr="00BB622F" w:rsidRDefault="00725E10" w:rsidP="00BB622F">
      <w:pPr>
        <w:jc w:val="both"/>
        <w:rPr>
          <w:rFonts w:cs="Calibri"/>
          <w:b/>
          <w:color w:val="5B9BD5"/>
        </w:rPr>
      </w:pPr>
      <w:r w:rsidRPr="00651284">
        <w:rPr>
          <w:rFonts w:cs="Calibri"/>
          <w:b/>
        </w:rPr>
        <w:t xml:space="preserve">Figura 12. </w:t>
      </w:r>
      <w:r w:rsidRPr="002729AC">
        <w:t>Percentuale di residenti che risultano vaccinati per SARS-CoV-2, nel periodo 2</w:t>
      </w:r>
      <w:r w:rsidR="001A4684">
        <w:t>1</w:t>
      </w:r>
      <w:r w:rsidRPr="002729AC">
        <w:t xml:space="preserve"> dicembre 2020 – </w:t>
      </w:r>
      <w:r w:rsidR="008D2110">
        <w:t>18 settembre</w:t>
      </w:r>
      <w:r w:rsidRPr="002729AC">
        <w:t xml:space="preserve"> 2022. Dato sui residenti vaccinati con almeno il ciclo completo raccolto dalla settimana 26/04/2021; dato sui vaccinati con dose booster raccolto dalla settimana 04/10/2021.</w:t>
      </w:r>
      <w:r w:rsidRPr="00651284">
        <w:t xml:space="preserve"> </w:t>
      </w:r>
      <w:r w:rsidR="00221B00" w:rsidRPr="00290C49">
        <w:rPr>
          <w:rFonts w:cs="Calibri"/>
          <w:i/>
          <w:iCs/>
        </w:rPr>
        <w:t xml:space="preserve">La data sull’asse delle ascisse indica il </w:t>
      </w:r>
      <w:r w:rsidR="00221B00">
        <w:rPr>
          <w:rFonts w:cs="Calibri"/>
          <w:i/>
          <w:iCs/>
        </w:rPr>
        <w:t>vener</w:t>
      </w:r>
      <w:r w:rsidR="00221B00" w:rsidRPr="00290C49">
        <w:rPr>
          <w:rFonts w:cs="Calibri"/>
          <w:i/>
          <w:iCs/>
        </w:rPr>
        <w:t>dì di ciascuna settimana di monitoraggio</w:t>
      </w:r>
      <w:r w:rsidR="00221B00">
        <w:rPr>
          <w:rFonts w:cs="Calibri"/>
          <w:i/>
          <w:iCs/>
        </w:rPr>
        <w:t>; per motivi di leggibilità le etichette sono riportate bisettimanalmente</w:t>
      </w:r>
      <w:r w:rsidRPr="008C5B60">
        <w:rPr>
          <w:rFonts w:cs="Calibri"/>
          <w:i/>
        </w:rPr>
        <w:t>.</w:t>
      </w:r>
    </w:p>
    <w:p w14:paraId="42017B7B" w14:textId="01C7482C" w:rsidR="00725E10" w:rsidRDefault="007E28A4" w:rsidP="00A61FE9">
      <w:pPr>
        <w:spacing w:after="0"/>
        <w:jc w:val="both"/>
        <w:rPr>
          <w:rFonts w:cs="Calibri"/>
          <w:b/>
          <w:color w:val="5B9BD5"/>
          <w:sz w:val="28"/>
          <w:szCs w:val="24"/>
        </w:rPr>
      </w:pPr>
      <w:r>
        <w:rPr>
          <w:noProof/>
        </w:rPr>
        <w:drawing>
          <wp:inline distT="0" distB="0" distL="0" distR="0" wp14:anchorId="28EEB143" wp14:editId="3453CA5F">
            <wp:extent cx="6064692" cy="4190400"/>
            <wp:effectExtent l="0" t="0" r="0" b="63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92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AECD" w14:textId="132CD374" w:rsidR="00725E10" w:rsidRDefault="004C1C62" w:rsidP="00094077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725E10">
        <w:rPr>
          <w:sz w:val="24"/>
          <w:szCs w:val="24"/>
        </w:rPr>
        <w:lastRenderedPageBreak/>
        <w:t>Infine, l</w:t>
      </w:r>
      <w:r w:rsidR="00725E10" w:rsidRPr="00B3303F">
        <w:rPr>
          <w:sz w:val="24"/>
          <w:szCs w:val="24"/>
        </w:rPr>
        <w:t xml:space="preserve">e </w:t>
      </w:r>
      <w:r w:rsidR="00725E10" w:rsidRPr="00B3303F">
        <w:rPr>
          <w:b/>
          <w:sz w:val="24"/>
          <w:szCs w:val="24"/>
        </w:rPr>
        <w:t>figure 1</w:t>
      </w:r>
      <w:r w:rsidR="00725E10">
        <w:rPr>
          <w:b/>
          <w:sz w:val="24"/>
          <w:szCs w:val="24"/>
        </w:rPr>
        <w:t>3</w:t>
      </w:r>
      <w:r w:rsidR="00725E10" w:rsidRPr="00B3303F">
        <w:rPr>
          <w:b/>
          <w:sz w:val="24"/>
          <w:szCs w:val="24"/>
        </w:rPr>
        <w:t xml:space="preserve"> e 1</w:t>
      </w:r>
      <w:r w:rsidR="00725E10">
        <w:rPr>
          <w:b/>
          <w:sz w:val="24"/>
          <w:szCs w:val="24"/>
        </w:rPr>
        <w:t>4</w:t>
      </w:r>
      <w:r w:rsidR="00725E10" w:rsidRPr="00B3303F">
        <w:rPr>
          <w:sz w:val="24"/>
          <w:szCs w:val="24"/>
        </w:rPr>
        <w:t xml:space="preserve"> </w:t>
      </w:r>
      <w:r w:rsidR="00725E10" w:rsidRPr="003A45FE">
        <w:rPr>
          <w:sz w:val="24"/>
          <w:szCs w:val="24"/>
          <w:u w:val="single"/>
        </w:rPr>
        <w:t>sintetizzano le informazioni riportate nelle figure 9-12</w:t>
      </w:r>
      <w:r w:rsidR="00725E10">
        <w:rPr>
          <w:sz w:val="24"/>
          <w:szCs w:val="24"/>
        </w:rPr>
        <w:t xml:space="preserve"> </w:t>
      </w:r>
      <w:r w:rsidR="00725E10" w:rsidRPr="00B3303F">
        <w:rPr>
          <w:sz w:val="24"/>
          <w:szCs w:val="24"/>
        </w:rPr>
        <w:t>relativ</w:t>
      </w:r>
      <w:r w:rsidR="00725E10">
        <w:rPr>
          <w:sz w:val="24"/>
          <w:szCs w:val="24"/>
        </w:rPr>
        <w:t>e</w:t>
      </w:r>
      <w:r w:rsidR="00725E10" w:rsidRPr="00B3303F">
        <w:rPr>
          <w:sz w:val="24"/>
          <w:szCs w:val="24"/>
        </w:rPr>
        <w:t xml:space="preserve"> </w:t>
      </w:r>
      <w:r w:rsidR="00725E10">
        <w:rPr>
          <w:sz w:val="24"/>
          <w:szCs w:val="24"/>
        </w:rPr>
        <w:t xml:space="preserve">ai: </w:t>
      </w:r>
    </w:p>
    <w:p w14:paraId="7A6DCE74" w14:textId="77777777" w:rsidR="00725E10" w:rsidRDefault="00725E10" w:rsidP="00B3303F">
      <w:pPr>
        <w:pStyle w:val="Paragrafoelenco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B3303F">
        <w:rPr>
          <w:sz w:val="24"/>
          <w:szCs w:val="24"/>
        </w:rPr>
        <w:t xml:space="preserve">decessi settimanali per tutte le cause tra i residenti </w:t>
      </w:r>
      <w:r>
        <w:rPr>
          <w:sz w:val="24"/>
          <w:szCs w:val="24"/>
        </w:rPr>
        <w:t>(</w:t>
      </w:r>
      <w:r w:rsidRPr="00B3303F">
        <w:rPr>
          <w:sz w:val="24"/>
          <w:szCs w:val="24"/>
        </w:rPr>
        <w:t>in struttura o dopo il trasferimento in ospedale</w:t>
      </w:r>
      <w:r>
        <w:rPr>
          <w:sz w:val="24"/>
          <w:szCs w:val="24"/>
        </w:rPr>
        <w:t>)</w:t>
      </w:r>
      <w:r w:rsidRPr="00B3303F">
        <w:rPr>
          <w:sz w:val="24"/>
          <w:szCs w:val="24"/>
        </w:rPr>
        <w:t xml:space="preserve"> </w:t>
      </w:r>
    </w:p>
    <w:p w14:paraId="61962C21" w14:textId="77777777" w:rsidR="00725E10" w:rsidRDefault="00725E10" w:rsidP="00B3303F">
      <w:pPr>
        <w:pStyle w:val="Paragrafoelenco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A73DE8">
        <w:rPr>
          <w:sz w:val="24"/>
          <w:szCs w:val="24"/>
        </w:rPr>
        <w:t>residenti SARS-CoV-2 positivi trasferiti in ospedale</w:t>
      </w:r>
    </w:p>
    <w:p w14:paraId="5927CEB8" w14:textId="77777777" w:rsidR="00725E10" w:rsidRDefault="00725E10" w:rsidP="00B3303F">
      <w:pPr>
        <w:pStyle w:val="Paragrafoelenco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B3303F">
        <w:rPr>
          <w:sz w:val="24"/>
          <w:szCs w:val="24"/>
        </w:rPr>
        <w:t xml:space="preserve">decessi in </w:t>
      </w:r>
      <w:r>
        <w:rPr>
          <w:sz w:val="24"/>
          <w:szCs w:val="24"/>
        </w:rPr>
        <w:t xml:space="preserve">residenti </w:t>
      </w:r>
      <w:r w:rsidRPr="00B3303F">
        <w:rPr>
          <w:sz w:val="24"/>
          <w:szCs w:val="24"/>
        </w:rPr>
        <w:t xml:space="preserve">SARS-CoV-2 positivi avvenuti in struttura </w:t>
      </w:r>
    </w:p>
    <w:p w14:paraId="673255CA" w14:textId="21C8BD49" w:rsidR="00725E10" w:rsidRDefault="00725E10" w:rsidP="001241EB">
      <w:pPr>
        <w:pStyle w:val="Paragrafoelenco"/>
        <w:numPr>
          <w:ilvl w:val="0"/>
          <w:numId w:val="4"/>
        </w:numPr>
        <w:jc w:val="both"/>
        <w:rPr>
          <w:sz w:val="24"/>
          <w:szCs w:val="24"/>
        </w:rPr>
      </w:pPr>
      <w:r w:rsidRPr="001241EB">
        <w:rPr>
          <w:sz w:val="24"/>
          <w:szCs w:val="24"/>
        </w:rPr>
        <w:t>residenti vaccinati per SARS-CoV-2</w:t>
      </w:r>
      <w:r w:rsidR="008F1663">
        <w:rPr>
          <w:sz w:val="24"/>
          <w:szCs w:val="24"/>
        </w:rPr>
        <w:t xml:space="preserve"> (dato disponibile dal 26 aprile 2021)</w:t>
      </w:r>
      <w:r>
        <w:rPr>
          <w:sz w:val="24"/>
          <w:szCs w:val="24"/>
        </w:rPr>
        <w:t xml:space="preserve">. </w:t>
      </w:r>
    </w:p>
    <w:p w14:paraId="2D125CE2" w14:textId="7E796DA3" w:rsidR="008F1663" w:rsidRDefault="008F1663" w:rsidP="005310E4">
      <w:pPr>
        <w:pStyle w:val="Paragrafoelenco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Inoltre, sempre a partire dal 26 aprile 2021, è disponibile anche il dato sui decessi tra residenti SARS-CoV-2 positivi avvenuti in ospedale; le figure 13 e 14 comprendono quindi anche la curva relativa a tale dato.</w:t>
      </w:r>
      <w:r w:rsidR="000201F3">
        <w:rPr>
          <w:sz w:val="24"/>
          <w:szCs w:val="24"/>
        </w:rPr>
        <w:t xml:space="preserve"> </w:t>
      </w:r>
    </w:p>
    <w:p w14:paraId="11120445" w14:textId="6676BA48" w:rsidR="00725E10" w:rsidRPr="001241EB" w:rsidRDefault="00725E10" w:rsidP="001241EB">
      <w:pPr>
        <w:spacing w:after="0"/>
        <w:jc w:val="both"/>
        <w:rPr>
          <w:sz w:val="24"/>
          <w:szCs w:val="24"/>
        </w:rPr>
      </w:pPr>
      <w:r w:rsidRPr="001241EB">
        <w:rPr>
          <w:sz w:val="24"/>
          <w:szCs w:val="24"/>
        </w:rPr>
        <w:t xml:space="preserve">Le informazioni relative a </w:t>
      </w:r>
      <w:r w:rsidRPr="001241EB">
        <w:rPr>
          <w:sz w:val="24"/>
          <w:szCs w:val="24"/>
          <w:u w:val="single"/>
        </w:rPr>
        <w:t xml:space="preserve">tutte le strutture residenziali sono presentate nella </w:t>
      </w:r>
      <w:r w:rsidRPr="001241EB">
        <w:rPr>
          <w:b/>
          <w:sz w:val="24"/>
          <w:szCs w:val="24"/>
          <w:u w:val="single"/>
        </w:rPr>
        <w:t>figura 13</w:t>
      </w:r>
      <w:r w:rsidRPr="001241EB">
        <w:rPr>
          <w:b/>
          <w:sz w:val="24"/>
          <w:szCs w:val="24"/>
        </w:rPr>
        <w:t xml:space="preserve">, </w:t>
      </w:r>
      <w:r w:rsidRPr="001241EB">
        <w:rPr>
          <w:bCs/>
          <w:sz w:val="24"/>
          <w:szCs w:val="24"/>
        </w:rPr>
        <w:t xml:space="preserve">mentre nella </w:t>
      </w:r>
      <w:r w:rsidRPr="001241EB">
        <w:rPr>
          <w:b/>
          <w:sz w:val="24"/>
          <w:szCs w:val="24"/>
          <w:u w:val="single"/>
        </w:rPr>
        <w:t>figura 14</w:t>
      </w:r>
      <w:r w:rsidRPr="001241EB">
        <w:rPr>
          <w:bCs/>
          <w:sz w:val="24"/>
          <w:szCs w:val="24"/>
          <w:u w:val="single"/>
        </w:rPr>
        <w:t xml:space="preserve"> sono riportate le </w:t>
      </w:r>
      <w:r w:rsidR="00221B00">
        <w:rPr>
          <w:bCs/>
          <w:sz w:val="24"/>
          <w:szCs w:val="24"/>
          <w:u w:val="single"/>
        </w:rPr>
        <w:t xml:space="preserve">corrispondenti </w:t>
      </w:r>
      <w:r w:rsidRPr="001241EB">
        <w:rPr>
          <w:bCs/>
          <w:sz w:val="24"/>
          <w:szCs w:val="24"/>
          <w:u w:val="single"/>
        </w:rPr>
        <w:t>informazioni</w:t>
      </w:r>
      <w:r w:rsidRPr="001241EB">
        <w:rPr>
          <w:sz w:val="24"/>
          <w:szCs w:val="24"/>
          <w:u w:val="single"/>
        </w:rPr>
        <w:t xml:space="preserve"> relative alle sole strutture per anziani non autosufficienti</w:t>
      </w:r>
      <w:r w:rsidRPr="001241EB">
        <w:rPr>
          <w:sz w:val="24"/>
          <w:szCs w:val="24"/>
        </w:rPr>
        <w:t xml:space="preserve">. I dati ribadiscono che all’aumentare della copertura vaccinale è corrisposta una riduzione </w:t>
      </w:r>
      <w:r w:rsidR="008F1663">
        <w:rPr>
          <w:sz w:val="24"/>
          <w:szCs w:val="24"/>
        </w:rPr>
        <w:t xml:space="preserve">sia </w:t>
      </w:r>
      <w:r w:rsidRPr="001241EB">
        <w:rPr>
          <w:sz w:val="24"/>
          <w:szCs w:val="24"/>
        </w:rPr>
        <w:t xml:space="preserve">dei decessi per SARS-CoV-2 </w:t>
      </w:r>
      <w:r w:rsidR="008F1663">
        <w:rPr>
          <w:sz w:val="24"/>
          <w:szCs w:val="24"/>
        </w:rPr>
        <w:t xml:space="preserve">positivi </w:t>
      </w:r>
      <w:r w:rsidRPr="001241EB">
        <w:rPr>
          <w:sz w:val="24"/>
          <w:szCs w:val="24"/>
        </w:rPr>
        <w:t>avvenuti in struttura</w:t>
      </w:r>
      <w:r w:rsidR="008F1663">
        <w:rPr>
          <w:sz w:val="24"/>
          <w:szCs w:val="24"/>
        </w:rPr>
        <w:t xml:space="preserve"> e sia dei decessi per SARS-CoV-2 positivi avvenuti in ospedale</w:t>
      </w:r>
      <w:r w:rsidRPr="001241EB">
        <w:rPr>
          <w:sz w:val="24"/>
          <w:szCs w:val="24"/>
        </w:rPr>
        <w:t xml:space="preserve"> (riduzione che permane anche nei mesi di dicembre 2021 e gennaio 20</w:t>
      </w:r>
      <w:r w:rsidR="008F1663">
        <w:rPr>
          <w:sz w:val="24"/>
          <w:szCs w:val="24"/>
        </w:rPr>
        <w:t>2</w:t>
      </w:r>
      <w:r w:rsidRPr="001241EB">
        <w:rPr>
          <w:sz w:val="24"/>
          <w:szCs w:val="24"/>
        </w:rPr>
        <w:t>2, nonostante il picco epidemico). Un nuovo aumento dei residenti SARS-CoV-2 trasferiti in ospedale è documentato dal dicembre 2021</w:t>
      </w:r>
      <w:r w:rsidR="003F5682">
        <w:rPr>
          <w:sz w:val="24"/>
          <w:szCs w:val="24"/>
        </w:rPr>
        <w:t xml:space="preserve"> e successivamente nel corso del 2022,</w:t>
      </w:r>
      <w:r w:rsidRPr="001241EB">
        <w:rPr>
          <w:sz w:val="24"/>
          <w:szCs w:val="24"/>
        </w:rPr>
        <w:t xml:space="preserve"> ma la percentuale dei decessi per tutte le cause non mostra incrementi sostanziali</w:t>
      </w:r>
      <w:r w:rsidR="008F1663">
        <w:rPr>
          <w:sz w:val="24"/>
          <w:szCs w:val="24"/>
        </w:rPr>
        <w:t xml:space="preserve"> e la percentuale dei decessi per SARS-CoV-2 positivi resta al di sotto dello 0,1</w:t>
      </w:r>
      <w:r w:rsidR="003F5682">
        <w:rPr>
          <w:sz w:val="24"/>
          <w:szCs w:val="24"/>
        </w:rPr>
        <w:t>5</w:t>
      </w:r>
      <w:r w:rsidR="008F1663">
        <w:rPr>
          <w:sz w:val="24"/>
          <w:szCs w:val="24"/>
        </w:rPr>
        <w:t>%</w:t>
      </w:r>
      <w:r w:rsidRPr="001241EB">
        <w:rPr>
          <w:sz w:val="24"/>
          <w:szCs w:val="24"/>
        </w:rPr>
        <w:t>.</w:t>
      </w:r>
    </w:p>
    <w:p w14:paraId="7B3A9564" w14:textId="77777777" w:rsidR="00725E10" w:rsidRDefault="00725E10" w:rsidP="00B3303F">
      <w:pPr>
        <w:spacing w:after="0"/>
        <w:jc w:val="both"/>
        <w:rPr>
          <w:sz w:val="24"/>
          <w:szCs w:val="24"/>
        </w:rPr>
      </w:pPr>
    </w:p>
    <w:p w14:paraId="118224BA" w14:textId="4614D200" w:rsidR="00725E10" w:rsidRDefault="005310E4" w:rsidP="00401690">
      <w:pPr>
        <w:jc w:val="both"/>
        <w:rPr>
          <w:rFonts w:cs="Calibri"/>
          <w:b/>
          <w:color w:val="5B9BD5"/>
        </w:rPr>
      </w:pPr>
      <w:r>
        <w:rPr>
          <w:rFonts w:cs="Calibri"/>
          <w:b/>
        </w:rPr>
        <w:br w:type="page"/>
      </w:r>
      <w:r w:rsidR="00725E10" w:rsidRPr="00B3303F">
        <w:rPr>
          <w:rFonts w:cs="Calibri"/>
          <w:b/>
        </w:rPr>
        <w:lastRenderedPageBreak/>
        <w:t>Figura 1</w:t>
      </w:r>
      <w:r w:rsidR="00725E10">
        <w:rPr>
          <w:rFonts w:cs="Calibri"/>
          <w:b/>
        </w:rPr>
        <w:t>3</w:t>
      </w:r>
      <w:r w:rsidR="00725E10" w:rsidRPr="00B3303F">
        <w:rPr>
          <w:rFonts w:cs="Calibri"/>
          <w:b/>
        </w:rPr>
        <w:t>.</w:t>
      </w:r>
      <w:r w:rsidR="00725E10" w:rsidRPr="00370805">
        <w:rPr>
          <w:rFonts w:cs="Calibri"/>
        </w:rPr>
        <w:t xml:space="preserve"> </w:t>
      </w:r>
      <w:r w:rsidR="004C1C62">
        <w:rPr>
          <w:rFonts w:cs="Calibri"/>
        </w:rPr>
        <w:t>N</w:t>
      </w:r>
      <w:r w:rsidR="00725E10" w:rsidRPr="00370805">
        <w:rPr>
          <w:rFonts w:cs="Calibri"/>
        </w:rPr>
        <w:t>el periodo 2</w:t>
      </w:r>
      <w:r w:rsidR="001A4684">
        <w:rPr>
          <w:rFonts w:cs="Calibri"/>
        </w:rPr>
        <w:t>1</w:t>
      </w:r>
      <w:r w:rsidR="00725E10" w:rsidRPr="00370805">
        <w:rPr>
          <w:rFonts w:cs="Calibri"/>
        </w:rPr>
        <w:t xml:space="preserve"> dicembre 2020 – </w:t>
      </w:r>
      <w:r w:rsidR="008D2110">
        <w:rPr>
          <w:rFonts w:cs="Calibri"/>
        </w:rPr>
        <w:t>18 settembre</w:t>
      </w:r>
      <w:r w:rsidR="00725E10" w:rsidRPr="00370805">
        <w:rPr>
          <w:rFonts w:cs="Calibri"/>
        </w:rPr>
        <w:t xml:space="preserve"> 2022: percentuale di decessi settimanali per tutte le cause</w:t>
      </w:r>
      <w:r w:rsidR="004C1C62">
        <w:rPr>
          <w:rFonts w:cs="Calibri"/>
        </w:rPr>
        <w:t>,</w:t>
      </w:r>
      <w:r w:rsidR="00725E10" w:rsidRPr="00370805">
        <w:rPr>
          <w:rFonts w:cs="Calibri"/>
        </w:rPr>
        <w:t xml:space="preserve"> in struttura o dopo il trasferimento in ospedale; residenti SARS-CoV-2 positivi trasferiti in ospedale; decessi in residenti SARS-CoV-2 positivi avvenuti in struttura; </w:t>
      </w:r>
      <w:r w:rsidR="00F2058F" w:rsidRPr="00370805">
        <w:rPr>
          <w:rFonts w:cs="Calibri"/>
        </w:rPr>
        <w:t xml:space="preserve">decessi in residenti SARS-CoV-2 positivi avvenuti in </w:t>
      </w:r>
      <w:r w:rsidR="00F2058F">
        <w:rPr>
          <w:rFonts w:cs="Calibri"/>
        </w:rPr>
        <w:t>ospedale (dato disponibile dal 26 aprile 2021)</w:t>
      </w:r>
      <w:r w:rsidR="00F2058F" w:rsidRPr="00370805">
        <w:rPr>
          <w:rFonts w:cs="Calibri"/>
        </w:rPr>
        <w:t>;</w:t>
      </w:r>
      <w:r w:rsidR="00F2058F">
        <w:rPr>
          <w:rFonts w:cs="Calibri"/>
        </w:rPr>
        <w:t xml:space="preserve"> </w:t>
      </w:r>
      <w:r w:rsidR="00725E10" w:rsidRPr="00370805">
        <w:rPr>
          <w:rFonts w:cs="Calibri"/>
        </w:rPr>
        <w:t>residenti vaccinati per SARS-CoV-2 (dato disponibile dal 26 aprile</w:t>
      </w:r>
      <w:r w:rsidR="00F2058F">
        <w:rPr>
          <w:rFonts w:cs="Calibri"/>
        </w:rPr>
        <w:t xml:space="preserve"> 2021</w:t>
      </w:r>
      <w:r w:rsidR="00725E10" w:rsidRPr="00370805">
        <w:rPr>
          <w:rFonts w:cs="Calibri"/>
        </w:rPr>
        <w:t>).</w:t>
      </w:r>
      <w:r w:rsidR="00725E10" w:rsidRPr="00370805">
        <w:rPr>
          <w:rFonts w:cs="Calibri"/>
          <w:b/>
        </w:rPr>
        <w:t xml:space="preserve"> </w:t>
      </w:r>
      <w:r w:rsidR="00221B00" w:rsidRPr="00290C49">
        <w:rPr>
          <w:rFonts w:cs="Calibri"/>
          <w:i/>
          <w:iCs/>
        </w:rPr>
        <w:t xml:space="preserve">La data sull’asse delle ascisse indica il </w:t>
      </w:r>
      <w:r w:rsidR="00221B00">
        <w:rPr>
          <w:rFonts w:cs="Calibri"/>
          <w:i/>
          <w:iCs/>
        </w:rPr>
        <w:t>vener</w:t>
      </w:r>
      <w:r w:rsidR="00221B00" w:rsidRPr="00290C49">
        <w:rPr>
          <w:rFonts w:cs="Calibri"/>
          <w:i/>
          <w:iCs/>
        </w:rPr>
        <w:t>dì di ciascuna settimana di monitoraggio</w:t>
      </w:r>
      <w:r w:rsidR="00221B00">
        <w:rPr>
          <w:rFonts w:cs="Calibri"/>
          <w:i/>
          <w:iCs/>
        </w:rPr>
        <w:t>; per motivi di leggibilità le etichette sono riportate bisettimanalmente</w:t>
      </w:r>
      <w:r w:rsidR="00725E10" w:rsidRPr="00245056">
        <w:rPr>
          <w:rFonts w:cs="Calibri"/>
          <w:i/>
        </w:rPr>
        <w:t>.</w:t>
      </w:r>
    </w:p>
    <w:p w14:paraId="2FADBA08" w14:textId="4A1F0514" w:rsidR="00725E10" w:rsidRDefault="007E28A4" w:rsidP="004C1C62">
      <w:pPr>
        <w:jc w:val="center"/>
        <w:rPr>
          <w:rFonts w:cs="Calibri"/>
          <w:b/>
          <w:color w:val="5B9BD5"/>
          <w:sz w:val="28"/>
          <w:szCs w:val="24"/>
        </w:rPr>
      </w:pPr>
      <w:r>
        <w:rPr>
          <w:noProof/>
        </w:rPr>
        <w:drawing>
          <wp:inline distT="0" distB="0" distL="0" distR="0" wp14:anchorId="6DCC4771" wp14:editId="68B237B9">
            <wp:extent cx="5776469" cy="4190400"/>
            <wp:effectExtent l="0" t="0" r="0" b="63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69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8C9D" w14:textId="5670F9F0" w:rsidR="00725E10" w:rsidRDefault="00725E10" w:rsidP="004C1C62">
      <w:pPr>
        <w:spacing w:after="0"/>
        <w:jc w:val="both"/>
        <w:rPr>
          <w:rFonts w:cs="Calibri"/>
          <w:b/>
          <w:color w:val="5B9BD5"/>
          <w:sz w:val="28"/>
          <w:szCs w:val="24"/>
        </w:rPr>
      </w:pPr>
    </w:p>
    <w:p w14:paraId="7A0D365A" w14:textId="69936ABC" w:rsidR="00725E10" w:rsidRDefault="005310E4" w:rsidP="00D77083">
      <w:pPr>
        <w:jc w:val="both"/>
        <w:rPr>
          <w:rFonts w:cs="Calibri"/>
          <w:b/>
          <w:color w:val="5B9BD5"/>
        </w:rPr>
      </w:pPr>
      <w:r>
        <w:rPr>
          <w:rFonts w:cs="Calibri"/>
          <w:b/>
        </w:rPr>
        <w:br w:type="page"/>
      </w:r>
      <w:r w:rsidR="00725E10" w:rsidRPr="00B3303F">
        <w:rPr>
          <w:rFonts w:cs="Calibri"/>
          <w:b/>
        </w:rPr>
        <w:lastRenderedPageBreak/>
        <w:t>Figura 1</w:t>
      </w:r>
      <w:r w:rsidR="00725E10">
        <w:rPr>
          <w:rFonts w:cs="Calibri"/>
          <w:b/>
        </w:rPr>
        <w:t>4</w:t>
      </w:r>
      <w:r w:rsidR="00725E10" w:rsidRPr="00B3303F">
        <w:rPr>
          <w:rFonts w:cs="Calibri"/>
          <w:b/>
        </w:rPr>
        <w:t xml:space="preserve">. </w:t>
      </w:r>
      <w:r w:rsidR="004C1C62">
        <w:rPr>
          <w:rFonts w:cs="Calibri"/>
        </w:rPr>
        <w:t>N</w:t>
      </w:r>
      <w:r w:rsidR="00725E10" w:rsidRPr="00370805">
        <w:rPr>
          <w:rFonts w:cs="Calibri"/>
        </w:rPr>
        <w:t>el periodo 2</w:t>
      </w:r>
      <w:r w:rsidR="001A4684">
        <w:rPr>
          <w:rFonts w:cs="Calibri"/>
        </w:rPr>
        <w:t>1</w:t>
      </w:r>
      <w:r w:rsidR="00725E10" w:rsidRPr="00370805">
        <w:rPr>
          <w:rFonts w:cs="Calibri"/>
        </w:rPr>
        <w:t xml:space="preserve"> dicembre 2020 – </w:t>
      </w:r>
      <w:r w:rsidR="008D2110">
        <w:rPr>
          <w:rFonts w:cs="Calibri"/>
        </w:rPr>
        <w:t>18 settembre</w:t>
      </w:r>
      <w:r w:rsidR="00725E10" w:rsidRPr="00370805">
        <w:rPr>
          <w:rFonts w:cs="Calibri"/>
        </w:rPr>
        <w:t xml:space="preserve"> 2022: percentuale di decessi settimanali per tutte le cause</w:t>
      </w:r>
      <w:r w:rsidR="004C1C62">
        <w:rPr>
          <w:rFonts w:cs="Calibri"/>
        </w:rPr>
        <w:t>,</w:t>
      </w:r>
      <w:r w:rsidR="00725E10" w:rsidRPr="00370805">
        <w:rPr>
          <w:rFonts w:cs="Calibri"/>
        </w:rPr>
        <w:t xml:space="preserve"> in struttura o dopo il trasferimento in ospedale</w:t>
      </w:r>
      <w:r w:rsidR="00765451">
        <w:rPr>
          <w:rFonts w:cs="Calibri"/>
        </w:rPr>
        <w:t>, nelle sole strutture residenziali per anziani non autosufficienti</w:t>
      </w:r>
      <w:r w:rsidR="00725E10" w:rsidRPr="00370805">
        <w:rPr>
          <w:rFonts w:cs="Calibri"/>
        </w:rPr>
        <w:t xml:space="preserve">; residenti SARS-CoV-2 positivi trasferiti in ospedale; decessi in residenti SARS-CoV-2 positivi avvenuti in struttura; </w:t>
      </w:r>
      <w:r w:rsidR="00F2058F" w:rsidRPr="00370805">
        <w:rPr>
          <w:rFonts w:cs="Calibri"/>
        </w:rPr>
        <w:t xml:space="preserve">decessi in residenti SARS-CoV-2 positivi avvenuti in </w:t>
      </w:r>
      <w:r w:rsidR="00F2058F">
        <w:rPr>
          <w:rFonts w:cs="Calibri"/>
        </w:rPr>
        <w:t>ospedale (dato disponibile dal 26 aprile 2021)</w:t>
      </w:r>
      <w:r w:rsidR="00F2058F" w:rsidRPr="00370805">
        <w:rPr>
          <w:rFonts w:cs="Calibri"/>
        </w:rPr>
        <w:t>;</w:t>
      </w:r>
      <w:r w:rsidR="00F2058F">
        <w:rPr>
          <w:rFonts w:cs="Calibri"/>
        </w:rPr>
        <w:t xml:space="preserve"> </w:t>
      </w:r>
      <w:r w:rsidR="00725E10" w:rsidRPr="00370805">
        <w:rPr>
          <w:rFonts w:cs="Calibri"/>
        </w:rPr>
        <w:t>residenti vaccinati per SARS-CoV-2 (dato disponibile dal 26 aprile</w:t>
      </w:r>
      <w:r w:rsidR="00F2058F">
        <w:rPr>
          <w:rFonts w:cs="Calibri"/>
        </w:rPr>
        <w:t xml:space="preserve"> 2021</w:t>
      </w:r>
      <w:r w:rsidR="00725E10" w:rsidRPr="00370805">
        <w:rPr>
          <w:rFonts w:cs="Calibri"/>
        </w:rPr>
        <w:t>)</w:t>
      </w:r>
      <w:r w:rsidR="00725E10">
        <w:t xml:space="preserve">. </w:t>
      </w:r>
      <w:r w:rsidR="00765451" w:rsidRPr="00290C49">
        <w:rPr>
          <w:rFonts w:cs="Calibri"/>
          <w:i/>
          <w:iCs/>
        </w:rPr>
        <w:t xml:space="preserve">La data sull’asse delle ascisse indica il </w:t>
      </w:r>
      <w:r w:rsidR="00765451">
        <w:rPr>
          <w:rFonts w:cs="Calibri"/>
          <w:i/>
          <w:iCs/>
        </w:rPr>
        <w:t>vener</w:t>
      </w:r>
      <w:r w:rsidR="00765451" w:rsidRPr="00290C49">
        <w:rPr>
          <w:rFonts w:cs="Calibri"/>
          <w:i/>
          <w:iCs/>
        </w:rPr>
        <w:t>dì di ciascuna settimana di monitoraggio</w:t>
      </w:r>
      <w:r w:rsidR="00765451">
        <w:rPr>
          <w:rFonts w:cs="Calibri"/>
          <w:i/>
          <w:iCs/>
        </w:rPr>
        <w:t>; per motivi di leggibilità le etichette sono riportate bisettimanalmente</w:t>
      </w:r>
      <w:r w:rsidR="00725E10" w:rsidRPr="00245056">
        <w:rPr>
          <w:rFonts w:cs="Calibri"/>
          <w:i/>
        </w:rPr>
        <w:t>.</w:t>
      </w:r>
    </w:p>
    <w:p w14:paraId="67EB1A4C" w14:textId="5D47DFDD" w:rsidR="00725E10" w:rsidRPr="00651284" w:rsidRDefault="007E28A4" w:rsidP="004C1C62">
      <w:pPr>
        <w:jc w:val="center"/>
        <w:rPr>
          <w:rFonts w:cs="Calibri"/>
          <w:b/>
          <w:color w:val="5B9BD5"/>
        </w:rPr>
      </w:pPr>
      <w:r>
        <w:rPr>
          <w:noProof/>
        </w:rPr>
        <w:drawing>
          <wp:inline distT="0" distB="0" distL="0" distR="0" wp14:anchorId="6F8BB9B3" wp14:editId="5F573E32">
            <wp:extent cx="5668236" cy="4190400"/>
            <wp:effectExtent l="0" t="0" r="8890" b="63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36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0A35" w14:textId="0D2095F1" w:rsidR="00725E10" w:rsidRPr="00532558" w:rsidRDefault="00725E10" w:rsidP="00F9738E">
      <w:pPr>
        <w:jc w:val="both"/>
        <w:rPr>
          <w:rFonts w:cs="Calibri"/>
          <w:b/>
          <w:sz w:val="28"/>
          <w:szCs w:val="24"/>
        </w:rPr>
      </w:pPr>
      <w:r>
        <w:rPr>
          <w:rFonts w:cs="Calibri"/>
          <w:b/>
          <w:color w:val="5B9BD5"/>
          <w:sz w:val="28"/>
          <w:szCs w:val="24"/>
        </w:rPr>
        <w:br w:type="page"/>
      </w:r>
      <w:r w:rsidRPr="00532558">
        <w:rPr>
          <w:rFonts w:cs="Calibri"/>
          <w:b/>
          <w:sz w:val="28"/>
          <w:szCs w:val="24"/>
        </w:rPr>
        <w:lastRenderedPageBreak/>
        <w:t>Limitazioni</w:t>
      </w:r>
    </w:p>
    <w:p w14:paraId="523E5A5C" w14:textId="706EBE8E" w:rsidR="00725E10" w:rsidRPr="00532558" w:rsidRDefault="00725E10" w:rsidP="00B174B9">
      <w:pPr>
        <w:jc w:val="both"/>
        <w:rPr>
          <w:sz w:val="24"/>
          <w:szCs w:val="24"/>
        </w:rPr>
      </w:pPr>
      <w:r w:rsidRPr="00532558">
        <w:rPr>
          <w:sz w:val="24"/>
          <w:szCs w:val="24"/>
        </w:rPr>
        <w:t>Il presente studio riporta i dati di una parte delle strutture residenziali presenti in alcune Regioni italiane e perciò potrebbe non essere rappresentativo dell’intera casistica nazionale. Inoltre, non tutte le strutture partecipanti hanno fornito i dati per tutte le settimane di monitoraggio</w:t>
      </w:r>
      <w:r w:rsidR="00532558">
        <w:rPr>
          <w:sz w:val="24"/>
          <w:szCs w:val="24"/>
        </w:rPr>
        <w:t>.</w:t>
      </w:r>
      <w:r w:rsidRPr="00532558">
        <w:rPr>
          <w:sz w:val="24"/>
          <w:szCs w:val="24"/>
        </w:rPr>
        <w:t xml:space="preserve"> </w:t>
      </w:r>
      <w:r w:rsidR="00532558">
        <w:rPr>
          <w:sz w:val="24"/>
          <w:szCs w:val="24"/>
        </w:rPr>
        <w:t>U</w:t>
      </w:r>
      <w:r w:rsidRPr="00532558">
        <w:rPr>
          <w:sz w:val="24"/>
          <w:szCs w:val="24"/>
        </w:rPr>
        <w:t>na lieve flessione della partecipazione delle strutture è stata osservata nel 2021</w:t>
      </w:r>
      <w:r w:rsidR="00532558">
        <w:rPr>
          <w:sz w:val="24"/>
          <w:szCs w:val="24"/>
        </w:rPr>
        <w:t xml:space="preserve"> e un’ulteriore flessione è stata osservata dopo marzo 2022</w:t>
      </w:r>
      <w:r w:rsidR="001A1E5A">
        <w:rPr>
          <w:sz w:val="24"/>
          <w:szCs w:val="24"/>
        </w:rPr>
        <w:t>,</w:t>
      </w:r>
      <w:r w:rsidRPr="00532558">
        <w:rPr>
          <w:sz w:val="24"/>
          <w:szCs w:val="24"/>
        </w:rPr>
        <w:t xml:space="preserve"> ragionevolmente in parte dovut</w:t>
      </w:r>
      <w:r w:rsidR="00532558">
        <w:rPr>
          <w:sz w:val="24"/>
          <w:szCs w:val="24"/>
        </w:rPr>
        <w:t>e</w:t>
      </w:r>
      <w:r w:rsidRPr="00532558">
        <w:rPr>
          <w:sz w:val="24"/>
          <w:szCs w:val="24"/>
        </w:rPr>
        <w:t xml:space="preserve"> alle difficoltà incontrate dagli operatori nella gestione dell’emergenza nell</w:t>
      </w:r>
      <w:r w:rsidR="00532558">
        <w:rPr>
          <w:sz w:val="24"/>
          <w:szCs w:val="24"/>
        </w:rPr>
        <w:t>e</w:t>
      </w:r>
      <w:r w:rsidRPr="00532558">
        <w:rPr>
          <w:sz w:val="24"/>
          <w:szCs w:val="24"/>
        </w:rPr>
        <w:t xml:space="preserve"> </w:t>
      </w:r>
      <w:r w:rsidR="00532558">
        <w:rPr>
          <w:sz w:val="24"/>
          <w:szCs w:val="24"/>
        </w:rPr>
        <w:t>nuove</w:t>
      </w:r>
      <w:r w:rsidR="00532558" w:rsidRPr="00532558">
        <w:rPr>
          <w:sz w:val="24"/>
          <w:szCs w:val="24"/>
        </w:rPr>
        <w:t xml:space="preserve"> </w:t>
      </w:r>
      <w:r w:rsidRPr="00532558">
        <w:rPr>
          <w:sz w:val="24"/>
          <w:szCs w:val="24"/>
        </w:rPr>
        <w:t>ondat</w:t>
      </w:r>
      <w:r w:rsidR="00532558">
        <w:rPr>
          <w:sz w:val="24"/>
          <w:szCs w:val="24"/>
        </w:rPr>
        <w:t>e</w:t>
      </w:r>
      <w:r w:rsidRPr="00532558">
        <w:rPr>
          <w:sz w:val="24"/>
          <w:szCs w:val="24"/>
        </w:rPr>
        <w:t xml:space="preserve"> di contagi. </w:t>
      </w:r>
      <w:r w:rsidR="00821EE4">
        <w:rPr>
          <w:sz w:val="24"/>
          <w:szCs w:val="24"/>
        </w:rPr>
        <w:t xml:space="preserve">È inoltre da considerare la fine dello stato di emergenza a livello nazionale avvenuto in data 31 marzo 2022, che può aver </w:t>
      </w:r>
      <w:r w:rsidR="00C0441C">
        <w:rPr>
          <w:sz w:val="24"/>
          <w:szCs w:val="24"/>
        </w:rPr>
        <w:t xml:space="preserve">contribuito alla </w:t>
      </w:r>
      <w:r w:rsidR="00821EE4">
        <w:rPr>
          <w:sz w:val="24"/>
          <w:szCs w:val="24"/>
        </w:rPr>
        <w:t xml:space="preserve">diminuzione </w:t>
      </w:r>
      <w:r w:rsidR="00C0441C">
        <w:rPr>
          <w:sz w:val="24"/>
          <w:szCs w:val="24"/>
        </w:rPr>
        <w:t xml:space="preserve">osservata </w:t>
      </w:r>
      <w:r w:rsidR="00821EE4">
        <w:rPr>
          <w:sz w:val="24"/>
          <w:szCs w:val="24"/>
        </w:rPr>
        <w:t>nell</w:t>
      </w:r>
      <w:r w:rsidR="00C0441C">
        <w:rPr>
          <w:sz w:val="24"/>
          <w:szCs w:val="24"/>
        </w:rPr>
        <w:t>’aderenza alla compilazione delle schede</w:t>
      </w:r>
      <w:r w:rsidR="00821EE4">
        <w:rPr>
          <w:sz w:val="24"/>
          <w:szCs w:val="24"/>
        </w:rPr>
        <w:t xml:space="preserve">. </w:t>
      </w:r>
      <w:r w:rsidRPr="00532558">
        <w:rPr>
          <w:sz w:val="24"/>
          <w:szCs w:val="24"/>
        </w:rPr>
        <w:t xml:space="preserve">Non si può quindi escludere che i dati presentati possano fornire una stima non </w:t>
      </w:r>
      <w:r w:rsidR="00C0441C">
        <w:rPr>
          <w:sz w:val="24"/>
          <w:szCs w:val="24"/>
        </w:rPr>
        <w:t>accurata</w:t>
      </w:r>
      <w:r w:rsidRPr="00532558">
        <w:rPr>
          <w:sz w:val="24"/>
          <w:szCs w:val="24"/>
        </w:rPr>
        <w:t xml:space="preserve"> di alcuni degli indicatori proposti. </w:t>
      </w:r>
      <w:r w:rsidR="00A62781" w:rsidRPr="00A62781">
        <w:rPr>
          <w:sz w:val="24"/>
          <w:szCs w:val="24"/>
        </w:rPr>
        <w:t>Relativamente alla frequenza di esecuzione dei tamponi, si segnala che alcune regioni stanno adottando procedure specifiche per la frequenza dello screening sia per residenti che per operatori</w:t>
      </w:r>
      <w:r w:rsidR="00A62781">
        <w:rPr>
          <w:sz w:val="24"/>
          <w:szCs w:val="24"/>
        </w:rPr>
        <w:t>.</w:t>
      </w:r>
    </w:p>
    <w:p w14:paraId="2B87840E" w14:textId="77777777" w:rsidR="00725E10" w:rsidRPr="004D19F6" w:rsidRDefault="00725E10" w:rsidP="00B174B9">
      <w:pPr>
        <w:keepNext/>
        <w:keepLines/>
        <w:spacing w:before="240" w:after="120" w:line="240" w:lineRule="auto"/>
        <w:jc w:val="both"/>
        <w:outlineLvl w:val="1"/>
        <w:rPr>
          <w:rFonts w:cs="Calibri"/>
          <w:b/>
          <w:color w:val="808080" w:themeColor="background1" w:themeShade="80"/>
          <w:sz w:val="28"/>
          <w:szCs w:val="24"/>
        </w:rPr>
      </w:pPr>
    </w:p>
    <w:p w14:paraId="08E1CA62" w14:textId="0D95D1DE" w:rsidR="00725E10" w:rsidRPr="004D19F6" w:rsidRDefault="00A967EB" w:rsidP="00B174B9">
      <w:pPr>
        <w:keepNext/>
        <w:keepLines/>
        <w:spacing w:before="240" w:after="120" w:line="240" w:lineRule="auto"/>
        <w:jc w:val="both"/>
        <w:outlineLvl w:val="1"/>
        <w:rPr>
          <w:rFonts w:cs="Calibri"/>
          <w:b/>
          <w:color w:val="808080" w:themeColor="background1" w:themeShade="80"/>
          <w:sz w:val="28"/>
          <w:szCs w:val="24"/>
        </w:rPr>
      </w:pPr>
      <w:r>
        <w:rPr>
          <w:rFonts w:cs="Calibri"/>
          <w:b/>
          <w:color w:val="5B9BD5"/>
          <w:sz w:val="28"/>
          <w:szCs w:val="24"/>
        </w:rPr>
        <w:t>Conclusioni</w:t>
      </w:r>
    </w:p>
    <w:p w14:paraId="591DB50B" w14:textId="615BC72F" w:rsidR="00725E10" w:rsidRPr="00991116" w:rsidRDefault="00725E10" w:rsidP="00B174B9">
      <w:pPr>
        <w:jc w:val="both"/>
        <w:rPr>
          <w:sz w:val="24"/>
          <w:szCs w:val="24"/>
        </w:rPr>
      </w:pPr>
      <w:r w:rsidRPr="00991116">
        <w:rPr>
          <w:sz w:val="24"/>
          <w:szCs w:val="24"/>
        </w:rPr>
        <w:t>Questo rapporto mostra l’andamento dell’epidemia COVID-19 nelle strutture residenziali dal 2</w:t>
      </w:r>
      <w:r w:rsidR="001A4684">
        <w:rPr>
          <w:sz w:val="24"/>
          <w:szCs w:val="24"/>
        </w:rPr>
        <w:t>1</w:t>
      </w:r>
      <w:r w:rsidRPr="00991116">
        <w:rPr>
          <w:sz w:val="24"/>
          <w:szCs w:val="24"/>
        </w:rPr>
        <w:t xml:space="preserve"> dicembre 2020 al </w:t>
      </w:r>
      <w:r w:rsidR="008D2110">
        <w:rPr>
          <w:sz w:val="24"/>
          <w:szCs w:val="24"/>
        </w:rPr>
        <w:t>18 settembre</w:t>
      </w:r>
      <w:r w:rsidRPr="00991116">
        <w:rPr>
          <w:sz w:val="24"/>
          <w:szCs w:val="24"/>
        </w:rPr>
        <w:t xml:space="preserve"> 2022. Sebbene i picchi dei casi COVID-19 riportati sia all’inizio (dicembre 2020 - gennaio 2021) che </w:t>
      </w:r>
      <w:r w:rsidR="000E471B" w:rsidRPr="00991116">
        <w:rPr>
          <w:sz w:val="24"/>
          <w:szCs w:val="24"/>
        </w:rPr>
        <w:t xml:space="preserve">durante il 2022 (gennaio, marzo, luglio) </w:t>
      </w:r>
      <w:r w:rsidRPr="00991116">
        <w:rPr>
          <w:sz w:val="24"/>
          <w:szCs w:val="24"/>
        </w:rPr>
        <w:t>siano risultati in linea con quanto osservato nella popolazione generale</w:t>
      </w:r>
      <w:r w:rsidR="000E471B" w:rsidRPr="00991116">
        <w:rPr>
          <w:sz w:val="24"/>
          <w:szCs w:val="24"/>
        </w:rPr>
        <w:t xml:space="preserve"> delle Regioni partecipanti al monitoraggio</w:t>
      </w:r>
      <w:r w:rsidRPr="00991116">
        <w:rPr>
          <w:sz w:val="24"/>
          <w:szCs w:val="24"/>
        </w:rPr>
        <w:t>, gli indicatori analizzati mostrano l’impatto della campagna vaccinale nel contenere isolamenti, ospedalizzazioni e decessi</w:t>
      </w:r>
      <w:r w:rsidR="000E471B" w:rsidRPr="00991116">
        <w:rPr>
          <w:sz w:val="24"/>
          <w:szCs w:val="24"/>
        </w:rPr>
        <w:t xml:space="preserve"> in tutto il periodo di osservazione. </w:t>
      </w:r>
      <w:r w:rsidRPr="00991116">
        <w:rPr>
          <w:sz w:val="24"/>
          <w:szCs w:val="24"/>
        </w:rPr>
        <w:t xml:space="preserve"> </w:t>
      </w:r>
    </w:p>
    <w:p w14:paraId="63B73D9D" w14:textId="77777777" w:rsidR="00725E10" w:rsidRPr="00991116" w:rsidRDefault="00725E10" w:rsidP="00B174B9">
      <w:pPr>
        <w:jc w:val="both"/>
        <w:rPr>
          <w:sz w:val="24"/>
          <w:szCs w:val="24"/>
        </w:rPr>
      </w:pPr>
      <w:r w:rsidRPr="00991116">
        <w:rPr>
          <w:sz w:val="24"/>
          <w:szCs w:val="24"/>
        </w:rPr>
        <w:t>In maggior dettaglio:</w:t>
      </w:r>
    </w:p>
    <w:p w14:paraId="07C388FB" w14:textId="70AEE2F7" w:rsidR="00725E10" w:rsidRPr="00991116" w:rsidRDefault="00725E10" w:rsidP="00575DC2">
      <w:pPr>
        <w:pStyle w:val="Paragrafoelenco"/>
        <w:numPr>
          <w:ilvl w:val="0"/>
          <w:numId w:val="8"/>
        </w:numPr>
        <w:jc w:val="both"/>
        <w:rPr>
          <w:sz w:val="24"/>
          <w:szCs w:val="24"/>
        </w:rPr>
      </w:pPr>
      <w:r w:rsidRPr="00991116">
        <w:rPr>
          <w:sz w:val="24"/>
          <w:szCs w:val="24"/>
        </w:rPr>
        <w:t xml:space="preserve">in controtendenza con il dato nazionale, nei mesi di febbraio-aprile 2021 si è osservata nelle strutture residenziali una progressiva riduzione dei casi COVID-19, degli isolamenti, delle ospedalizzazioni di residenti SARS-CoV-2 positivi e dei decessi. Questo trend si delinea con l’inizio della campagna vaccinale, che ha interessato in maniera prioritaria gli ospiti delle strutture residenziali per anziani e le persone severamente vulnerabili, insieme a tutto il personale. La riduzione dei casi e dei decessi COVID-19 è proseguita in maniera consistente </w:t>
      </w:r>
      <w:r w:rsidR="009325CD" w:rsidRPr="00991116">
        <w:rPr>
          <w:sz w:val="24"/>
          <w:szCs w:val="24"/>
        </w:rPr>
        <w:t>per tutto il</w:t>
      </w:r>
      <w:r w:rsidR="000E471B" w:rsidRPr="00991116">
        <w:rPr>
          <w:sz w:val="24"/>
          <w:szCs w:val="24"/>
        </w:rPr>
        <w:t xml:space="preserve"> 2021</w:t>
      </w:r>
      <w:r w:rsidRPr="00991116">
        <w:rPr>
          <w:sz w:val="24"/>
          <w:szCs w:val="24"/>
        </w:rPr>
        <w:t xml:space="preserve">, </w:t>
      </w:r>
      <w:r w:rsidR="009325CD" w:rsidRPr="00991116">
        <w:rPr>
          <w:sz w:val="24"/>
          <w:szCs w:val="24"/>
        </w:rPr>
        <w:t>anche supportata dall’avvio delle vaccinazioni con dose booster</w:t>
      </w:r>
      <w:r w:rsidRPr="00991116">
        <w:rPr>
          <w:sz w:val="24"/>
          <w:szCs w:val="24"/>
        </w:rPr>
        <w:t>.</w:t>
      </w:r>
    </w:p>
    <w:p w14:paraId="736AA999" w14:textId="3ECBF250" w:rsidR="00725E10" w:rsidRPr="00256E37" w:rsidRDefault="00725E10" w:rsidP="00500D1B">
      <w:pPr>
        <w:pStyle w:val="Paragrafoelenco"/>
        <w:numPr>
          <w:ilvl w:val="0"/>
          <w:numId w:val="8"/>
        </w:numPr>
        <w:jc w:val="both"/>
        <w:rPr>
          <w:sz w:val="24"/>
          <w:szCs w:val="24"/>
        </w:rPr>
      </w:pPr>
      <w:r w:rsidRPr="00500D1B">
        <w:rPr>
          <w:sz w:val="24"/>
          <w:szCs w:val="24"/>
        </w:rPr>
        <w:t xml:space="preserve">Nei mesi di luglio, agosto e settembre </w:t>
      </w:r>
      <w:r w:rsidRPr="00500D1B">
        <w:rPr>
          <w:sz w:val="24"/>
          <w:szCs w:val="24"/>
        </w:rPr>
        <w:t xml:space="preserve">2021 è osservabile una lieve crescita nei casi COVID-19, sia nei residenti sia negli operatori, crescita che diventa </w:t>
      </w:r>
      <w:r w:rsidR="007E28A4">
        <w:rPr>
          <w:sz w:val="24"/>
          <w:szCs w:val="24"/>
        </w:rPr>
        <w:t>più evidente</w:t>
      </w:r>
      <w:r w:rsidRPr="00500D1B">
        <w:rPr>
          <w:sz w:val="24"/>
          <w:szCs w:val="24"/>
        </w:rPr>
        <w:t xml:space="preserve"> a fine dicembre 2021 e gennaio 2022</w:t>
      </w:r>
      <w:r w:rsidR="000E471B" w:rsidRPr="00AB6401">
        <w:rPr>
          <w:sz w:val="24"/>
          <w:szCs w:val="24"/>
        </w:rPr>
        <w:t xml:space="preserve"> (picchi massimi assoluti, sia nelle strutture che nella </w:t>
      </w:r>
      <w:r w:rsidR="000E471B" w:rsidRPr="00AB6401">
        <w:rPr>
          <w:sz w:val="24"/>
          <w:szCs w:val="24"/>
        </w:rPr>
        <w:t>popolazione generale)</w:t>
      </w:r>
      <w:r w:rsidRPr="00256E37">
        <w:rPr>
          <w:sz w:val="24"/>
          <w:szCs w:val="24"/>
        </w:rPr>
        <w:t xml:space="preserve">, e che </w:t>
      </w:r>
      <w:r w:rsidR="000E471B" w:rsidRPr="00256E37">
        <w:rPr>
          <w:sz w:val="24"/>
          <w:szCs w:val="24"/>
        </w:rPr>
        <w:t xml:space="preserve">risale in picchi relativi (inferiori ai precedenti) a fine marzo 2022 e fine luglio 2022. </w:t>
      </w:r>
      <w:r w:rsidRPr="00256E37">
        <w:rPr>
          <w:sz w:val="24"/>
          <w:szCs w:val="24"/>
        </w:rPr>
        <w:t xml:space="preserve">Va tuttavia segnalato che, a fronte di un aumento dei nuovi casi e dei focolai nelle strutture monitorate, il numero di decessi per COVID-19 avvenuto </w:t>
      </w:r>
      <w:r w:rsidR="00D3480F" w:rsidRPr="00256E37">
        <w:rPr>
          <w:sz w:val="24"/>
          <w:szCs w:val="24"/>
        </w:rPr>
        <w:t xml:space="preserve">sia </w:t>
      </w:r>
      <w:r w:rsidRPr="00256E37">
        <w:rPr>
          <w:sz w:val="24"/>
          <w:szCs w:val="24"/>
        </w:rPr>
        <w:t>nelle strutture</w:t>
      </w:r>
      <w:r w:rsidR="00D3480F" w:rsidRPr="00256E37">
        <w:rPr>
          <w:sz w:val="24"/>
          <w:szCs w:val="24"/>
        </w:rPr>
        <w:t xml:space="preserve"> che in ospedale</w:t>
      </w:r>
      <w:r w:rsidRPr="00256E37">
        <w:rPr>
          <w:sz w:val="24"/>
          <w:szCs w:val="24"/>
        </w:rPr>
        <w:t xml:space="preserve"> rimane contenuto</w:t>
      </w:r>
      <w:r w:rsidR="00A42749" w:rsidRPr="00256E37">
        <w:rPr>
          <w:sz w:val="24"/>
          <w:szCs w:val="24"/>
        </w:rPr>
        <w:t xml:space="preserve"> (sempre al di sotto dello 0,15%)</w:t>
      </w:r>
      <w:r w:rsidRPr="00256E37">
        <w:rPr>
          <w:sz w:val="24"/>
          <w:szCs w:val="24"/>
        </w:rPr>
        <w:t>, probabilmente per effetto protettivo della vaccinazione anti-SARS-CoV-2 nei confronti delle forme più gravi di COVID-19</w:t>
      </w:r>
      <w:r w:rsidR="00256E37" w:rsidRPr="00256E37">
        <w:rPr>
          <w:sz w:val="24"/>
          <w:szCs w:val="24"/>
        </w:rPr>
        <w:t xml:space="preserve"> e della crescente prevalenza</w:t>
      </w:r>
      <w:r w:rsidR="00256E37" w:rsidRPr="00690865">
        <w:rPr>
          <w:sz w:val="24"/>
          <w:szCs w:val="24"/>
        </w:rPr>
        <w:t xml:space="preserve"> in Italia</w:t>
      </w:r>
      <w:r w:rsidR="00256E37" w:rsidRPr="00500D1B">
        <w:rPr>
          <w:sz w:val="24"/>
          <w:szCs w:val="24"/>
        </w:rPr>
        <w:t xml:space="preserve"> di ceppi SARS-</w:t>
      </w:r>
      <w:r w:rsidR="00256E37" w:rsidRPr="00AB6401">
        <w:rPr>
          <w:sz w:val="24"/>
          <w:szCs w:val="24"/>
        </w:rPr>
        <w:t xml:space="preserve">CoV-2 </w:t>
      </w:r>
      <w:r w:rsidR="00256E37" w:rsidRPr="00256E37">
        <w:rPr>
          <w:sz w:val="24"/>
          <w:szCs w:val="24"/>
        </w:rPr>
        <w:t>caratterizzati da maggiore trasmissibilità e minore rischio di ospedalizzazione</w:t>
      </w:r>
      <w:r w:rsidRPr="00256E37">
        <w:rPr>
          <w:sz w:val="24"/>
          <w:szCs w:val="24"/>
        </w:rPr>
        <w:t>.</w:t>
      </w:r>
    </w:p>
    <w:p w14:paraId="5DF9370F" w14:textId="297449FF" w:rsidR="00725E10" w:rsidRPr="00991116" w:rsidRDefault="00725E10" w:rsidP="00575DC2">
      <w:pPr>
        <w:pStyle w:val="Paragrafoelenco"/>
        <w:numPr>
          <w:ilvl w:val="0"/>
          <w:numId w:val="8"/>
        </w:numPr>
        <w:jc w:val="both"/>
        <w:rPr>
          <w:sz w:val="24"/>
          <w:szCs w:val="24"/>
        </w:rPr>
      </w:pPr>
      <w:r w:rsidRPr="00991116">
        <w:rPr>
          <w:sz w:val="24"/>
          <w:szCs w:val="24"/>
        </w:rPr>
        <w:lastRenderedPageBreak/>
        <w:t>La copertura vaccinale nelle strutture è risultata infatti molto alta: a settembre 2021 aveva ricevuto il ciclo completo di vaccino anti-SARS-CoV-2 il 94% dei residenti nelle strutture residenziali per anziani non autosufficienti ed il 93% dei residenti in tutte le strutture</w:t>
      </w:r>
      <w:r w:rsidR="000E471B" w:rsidRPr="00991116">
        <w:rPr>
          <w:sz w:val="24"/>
          <w:szCs w:val="24"/>
        </w:rPr>
        <w:t>;</w:t>
      </w:r>
      <w:r w:rsidRPr="00991116">
        <w:rPr>
          <w:sz w:val="24"/>
          <w:szCs w:val="24"/>
        </w:rPr>
        <w:t xml:space="preserve"> a metà dicembre 2021, inoltre, l’80% dei residenti aveva ricevuto anche la dose vaccinale booster o addizionale</w:t>
      </w:r>
      <w:r w:rsidR="000E471B" w:rsidRPr="00991116">
        <w:rPr>
          <w:sz w:val="24"/>
          <w:szCs w:val="24"/>
        </w:rPr>
        <w:t>; a fine periodo di osservazione (agosto 2022) la percentuale di residenti vaccinati a ciclo completo è circa del 98% e la percentuale di residenti vaccinati anche con una o più dosi booster è del 93%</w:t>
      </w:r>
      <w:r w:rsidRPr="00991116">
        <w:rPr>
          <w:sz w:val="24"/>
          <w:szCs w:val="24"/>
        </w:rPr>
        <w:t xml:space="preserve">. </w:t>
      </w:r>
    </w:p>
    <w:p w14:paraId="3CC22A9E" w14:textId="79E337E3" w:rsidR="00725E10" w:rsidRDefault="00725E10" w:rsidP="00575DC2">
      <w:pPr>
        <w:pStyle w:val="Paragrafoelenco"/>
        <w:numPr>
          <w:ilvl w:val="0"/>
          <w:numId w:val="8"/>
        </w:numPr>
        <w:jc w:val="both"/>
        <w:rPr>
          <w:sz w:val="24"/>
          <w:szCs w:val="24"/>
        </w:rPr>
      </w:pPr>
      <w:r w:rsidRPr="00991116">
        <w:rPr>
          <w:sz w:val="24"/>
          <w:szCs w:val="24"/>
        </w:rPr>
        <w:t xml:space="preserve">I dati sui tamponi eseguiti in struttura mostrano l’elevata attenzione diagnostica delle strutture in relazione alle ondate epidemiche sul territorio nazionale. Durante il 2021, il numero di tamponi eseguiti settimanalmente si è mantenuto mediamente intorno ai 35 tamponi per 100 residenti per settimana in tutte le strutture, e intorno ai 40 nelle strutture per anziani non autosufficienti, con una flessione nel periodo estivo in entrambi i casi. Dall’autunno 2021 il numero di tamponi settimanali ha subito un significativo incremento, fino a superare, a fine 2021, la soglia dei 55 tamponi settimanali per 100 residenti in tutte le strutture e la soglia dei 65 nelle strutture per anziani non autosufficienti. </w:t>
      </w:r>
      <w:r w:rsidR="000E471B" w:rsidRPr="00991116">
        <w:rPr>
          <w:sz w:val="24"/>
          <w:szCs w:val="24"/>
        </w:rPr>
        <w:t xml:space="preserve"> Nel corso del 2022 il numero di tamponi eseguiti per 100 residenti è aumentato sensibilmente, con un picco a marzo di 65 tamponi settimanali per 100 residenti in tutte le strutture e di 75 nelle strutture per anziani non autosufficienti. Alcune regioni stanno al momento adottando procedure specifiche per la frequenza dello screening sia per residenti che per operatori, spesso basate su controlli quindicinali.</w:t>
      </w:r>
    </w:p>
    <w:p w14:paraId="1CE40344" w14:textId="3A995870" w:rsidR="00287D2A" w:rsidRPr="001A4684" w:rsidRDefault="00287D2A" w:rsidP="00575DC2">
      <w:pPr>
        <w:pStyle w:val="Paragrafoelenco"/>
        <w:numPr>
          <w:ilvl w:val="0"/>
          <w:numId w:val="8"/>
        </w:numPr>
        <w:jc w:val="both"/>
        <w:rPr>
          <w:sz w:val="24"/>
          <w:szCs w:val="24"/>
        </w:rPr>
      </w:pPr>
      <w:r w:rsidRPr="001A4684">
        <w:rPr>
          <w:rFonts w:ascii="CIDFont+F1" w:hAnsi="CIDFont+F1" w:cs="CIDFont+F1"/>
          <w:sz w:val="24"/>
          <w:szCs w:val="24"/>
        </w:rPr>
        <w:t xml:space="preserve">Infine, il monitoraggio delle procedure di isolamento nelle strutture evidenzia andamenti molto ben correlati con gli andamenti dei contagi, con picchi simultanei in corrispondenza dei picchi dei contagi in struttura. </w:t>
      </w:r>
      <w:r w:rsidR="00747AC1" w:rsidRPr="001A4684">
        <w:rPr>
          <w:rFonts w:ascii="CIDFont+F1" w:hAnsi="CIDFont+F1" w:cs="CIDFont+F1"/>
          <w:sz w:val="24"/>
          <w:szCs w:val="24"/>
        </w:rPr>
        <w:t xml:space="preserve">Tali procedure risultano dunque </w:t>
      </w:r>
      <w:r w:rsidRPr="001A4684">
        <w:rPr>
          <w:rFonts w:ascii="CIDFont+F1" w:hAnsi="CIDFont+F1" w:cs="CIDFont+F1"/>
          <w:sz w:val="24"/>
          <w:szCs w:val="24"/>
        </w:rPr>
        <w:t xml:space="preserve">un buon indicatore della capacità di reazione/gestione degli eventi </w:t>
      </w:r>
      <w:r w:rsidR="00747AC1" w:rsidRPr="001A4684">
        <w:rPr>
          <w:rFonts w:ascii="CIDFont+F1" w:hAnsi="CIDFont+F1" w:cs="CIDFont+F1"/>
          <w:sz w:val="24"/>
          <w:szCs w:val="24"/>
        </w:rPr>
        <w:t>da parte delle strutture</w:t>
      </w:r>
      <w:r w:rsidRPr="001A4684">
        <w:rPr>
          <w:rFonts w:ascii="CIDFont+F1" w:hAnsi="CIDFont+F1" w:cs="CIDFont+F1"/>
          <w:sz w:val="24"/>
          <w:szCs w:val="24"/>
        </w:rPr>
        <w:t>, assieme ai tamponi</w:t>
      </w:r>
      <w:r w:rsidR="00747AC1" w:rsidRPr="001A4684">
        <w:rPr>
          <w:rFonts w:ascii="CIDFont+F1" w:hAnsi="CIDFont+F1" w:cs="CIDFont+F1"/>
          <w:sz w:val="24"/>
          <w:szCs w:val="24"/>
        </w:rPr>
        <w:t>,</w:t>
      </w:r>
      <w:r w:rsidRPr="001A4684">
        <w:rPr>
          <w:rFonts w:ascii="CIDFont+F1" w:hAnsi="CIDFont+F1" w:cs="CIDFont+F1"/>
          <w:sz w:val="24"/>
          <w:szCs w:val="24"/>
        </w:rPr>
        <w:t xml:space="preserve"> all</w:t>
      </w:r>
      <w:r w:rsidR="00747AC1" w:rsidRPr="001A4684">
        <w:rPr>
          <w:rFonts w:ascii="CIDFont+F1" w:hAnsi="CIDFont+F1" w:cs="CIDFont+F1"/>
          <w:sz w:val="24"/>
          <w:szCs w:val="24"/>
        </w:rPr>
        <w:t>e</w:t>
      </w:r>
      <w:r w:rsidRPr="001A4684">
        <w:rPr>
          <w:rFonts w:ascii="CIDFont+F1" w:hAnsi="CIDFont+F1" w:cs="CIDFont+F1"/>
          <w:sz w:val="24"/>
          <w:szCs w:val="24"/>
        </w:rPr>
        <w:t xml:space="preserve"> vaccinazioni e al numero molto contenuto di trasferimenti in ospedale.</w:t>
      </w:r>
    </w:p>
    <w:p w14:paraId="6B5E0D28" w14:textId="24CB365D" w:rsidR="00904473" w:rsidRPr="00991116" w:rsidRDefault="00725E10" w:rsidP="00B174B9">
      <w:pPr>
        <w:jc w:val="both"/>
        <w:rPr>
          <w:sz w:val="24"/>
          <w:szCs w:val="24"/>
        </w:rPr>
      </w:pPr>
      <w:r w:rsidRPr="00991116">
        <w:rPr>
          <w:sz w:val="24"/>
          <w:szCs w:val="24"/>
        </w:rPr>
        <w:t xml:space="preserve">Sebbene, dunque, i dati indichino un notevole incremento dei nuovi casi SARS-CoV-2 positivi nelle strutture residenziali </w:t>
      </w:r>
      <w:r w:rsidR="000E471B" w:rsidRPr="00991116">
        <w:rPr>
          <w:sz w:val="24"/>
          <w:szCs w:val="24"/>
        </w:rPr>
        <w:t>in corrispondenza delle varie ondate epidemiche occorse nel periodo di osservazione,</w:t>
      </w:r>
      <w:r w:rsidR="00BC2879">
        <w:rPr>
          <w:sz w:val="24"/>
          <w:szCs w:val="24"/>
        </w:rPr>
        <w:t xml:space="preserve"> si sono osservate a partire dal secondo trimestre del 2021 </w:t>
      </w:r>
      <w:r w:rsidRPr="00991116">
        <w:rPr>
          <w:sz w:val="24"/>
          <w:szCs w:val="24"/>
        </w:rPr>
        <w:t>percentuali molto basse di decessi per COVID-19</w:t>
      </w:r>
      <w:r w:rsidR="00BC2879">
        <w:rPr>
          <w:sz w:val="24"/>
          <w:szCs w:val="24"/>
        </w:rPr>
        <w:t>. Questo dato può essere spiegato</w:t>
      </w:r>
      <w:r w:rsidR="00500D1B">
        <w:rPr>
          <w:sz w:val="24"/>
          <w:szCs w:val="24"/>
        </w:rPr>
        <w:t xml:space="preserve"> dall</w:t>
      </w:r>
      <w:r w:rsidRPr="00991116">
        <w:rPr>
          <w:sz w:val="24"/>
          <w:szCs w:val="24"/>
        </w:rPr>
        <w:t>a protezione immunitaria associata</w:t>
      </w:r>
      <w:r w:rsidR="001F2EF9">
        <w:rPr>
          <w:sz w:val="24"/>
          <w:szCs w:val="24"/>
        </w:rPr>
        <w:t xml:space="preserve"> alle ripetute vaccinazioni</w:t>
      </w:r>
      <w:r w:rsidR="00D1349F">
        <w:rPr>
          <w:sz w:val="24"/>
          <w:szCs w:val="24"/>
        </w:rPr>
        <w:t xml:space="preserve"> e</w:t>
      </w:r>
      <w:r w:rsidR="001F2EF9">
        <w:rPr>
          <w:sz w:val="24"/>
          <w:szCs w:val="24"/>
        </w:rPr>
        <w:t xml:space="preserve"> d</w:t>
      </w:r>
      <w:r w:rsidRPr="00991116">
        <w:rPr>
          <w:sz w:val="24"/>
          <w:szCs w:val="24"/>
        </w:rPr>
        <w:t>all’ampia copertura vaccinale</w:t>
      </w:r>
      <w:r w:rsidR="001B3055">
        <w:rPr>
          <w:sz w:val="24"/>
          <w:szCs w:val="24"/>
        </w:rPr>
        <w:t xml:space="preserve">, dalla </w:t>
      </w:r>
      <w:r w:rsidR="00D318A4">
        <w:rPr>
          <w:sz w:val="24"/>
          <w:szCs w:val="24"/>
        </w:rPr>
        <w:t>prevalenza</w:t>
      </w:r>
      <w:r w:rsidR="001B3055">
        <w:rPr>
          <w:sz w:val="24"/>
          <w:szCs w:val="24"/>
        </w:rPr>
        <w:t xml:space="preserve"> di varianti SARS-CoV-2 più trasmissibili</w:t>
      </w:r>
      <w:r w:rsidR="00D1349F">
        <w:rPr>
          <w:sz w:val="24"/>
          <w:szCs w:val="24"/>
        </w:rPr>
        <w:t xml:space="preserve"> </w:t>
      </w:r>
      <w:r w:rsidR="00A04FC8">
        <w:rPr>
          <w:sz w:val="24"/>
          <w:szCs w:val="24"/>
        </w:rPr>
        <w:t>ma</w:t>
      </w:r>
      <w:r w:rsidR="001B3055">
        <w:rPr>
          <w:sz w:val="24"/>
          <w:szCs w:val="24"/>
        </w:rPr>
        <w:t xml:space="preserve"> responsabili di infezioni </w:t>
      </w:r>
      <w:r w:rsidR="00D1349F">
        <w:rPr>
          <w:sz w:val="24"/>
          <w:szCs w:val="24"/>
        </w:rPr>
        <w:t>lievi e</w:t>
      </w:r>
      <w:r w:rsidR="00DA17C6">
        <w:rPr>
          <w:sz w:val="24"/>
          <w:szCs w:val="24"/>
        </w:rPr>
        <w:t xml:space="preserve"> a basso rischio di ospedalizzazione</w:t>
      </w:r>
      <w:r w:rsidR="001B3055">
        <w:rPr>
          <w:sz w:val="24"/>
          <w:szCs w:val="24"/>
        </w:rPr>
        <w:t>,</w:t>
      </w:r>
      <w:r w:rsidR="00500D1B">
        <w:rPr>
          <w:sz w:val="24"/>
          <w:szCs w:val="24"/>
        </w:rPr>
        <w:t xml:space="preserve"> </w:t>
      </w:r>
      <w:r w:rsidR="00AB6401">
        <w:rPr>
          <w:sz w:val="24"/>
          <w:szCs w:val="24"/>
        </w:rPr>
        <w:t xml:space="preserve">come anche </w:t>
      </w:r>
      <w:r w:rsidR="00500D1B">
        <w:rPr>
          <w:sz w:val="24"/>
          <w:szCs w:val="24"/>
        </w:rPr>
        <w:t xml:space="preserve">dal </w:t>
      </w:r>
      <w:r w:rsidR="00713115">
        <w:rPr>
          <w:sz w:val="24"/>
          <w:szCs w:val="24"/>
        </w:rPr>
        <w:t xml:space="preserve">progressivo </w:t>
      </w:r>
      <w:r w:rsidR="00500D1B">
        <w:rPr>
          <w:sz w:val="24"/>
          <w:szCs w:val="24"/>
        </w:rPr>
        <w:t xml:space="preserve">miglioramento </w:t>
      </w:r>
      <w:r w:rsidR="001B3055">
        <w:rPr>
          <w:sz w:val="24"/>
          <w:szCs w:val="24"/>
        </w:rPr>
        <w:t xml:space="preserve">sia </w:t>
      </w:r>
      <w:r w:rsidR="00713115">
        <w:rPr>
          <w:sz w:val="24"/>
          <w:szCs w:val="24"/>
        </w:rPr>
        <w:t xml:space="preserve">delle conoscenze rispetto alle terapie disponibili </w:t>
      </w:r>
      <w:r w:rsidR="001B3055">
        <w:rPr>
          <w:sz w:val="24"/>
          <w:szCs w:val="24"/>
        </w:rPr>
        <w:t>ch</w:t>
      </w:r>
      <w:r w:rsidR="00713115">
        <w:rPr>
          <w:sz w:val="24"/>
          <w:szCs w:val="24"/>
        </w:rPr>
        <w:t xml:space="preserve">e della gestione </w:t>
      </w:r>
      <w:r w:rsidR="00AB6401">
        <w:rPr>
          <w:sz w:val="24"/>
          <w:szCs w:val="24"/>
        </w:rPr>
        <w:t xml:space="preserve">generale </w:t>
      </w:r>
      <w:r w:rsidR="00713115">
        <w:rPr>
          <w:sz w:val="24"/>
          <w:szCs w:val="24"/>
        </w:rPr>
        <w:t>dei casi</w:t>
      </w:r>
      <w:r w:rsidRPr="00991116">
        <w:rPr>
          <w:sz w:val="24"/>
          <w:szCs w:val="24"/>
        </w:rPr>
        <w:t xml:space="preserve">. </w:t>
      </w:r>
    </w:p>
    <w:p w14:paraId="7FE9C603" w14:textId="35EFD499" w:rsidR="00725E10" w:rsidRPr="00991116" w:rsidRDefault="00725E10" w:rsidP="00B174B9">
      <w:pPr>
        <w:jc w:val="both"/>
        <w:rPr>
          <w:sz w:val="24"/>
          <w:szCs w:val="24"/>
        </w:rPr>
      </w:pPr>
      <w:r w:rsidRPr="00991116">
        <w:rPr>
          <w:sz w:val="24"/>
          <w:szCs w:val="24"/>
        </w:rPr>
        <w:t xml:space="preserve">Le attività di monitoraggio nelle strutture </w:t>
      </w:r>
      <w:r w:rsidR="000E471B" w:rsidRPr="00991116">
        <w:rPr>
          <w:sz w:val="24"/>
          <w:szCs w:val="24"/>
        </w:rPr>
        <w:t xml:space="preserve">proseguono, </w:t>
      </w:r>
      <w:r w:rsidRPr="00991116">
        <w:rPr>
          <w:sz w:val="24"/>
          <w:szCs w:val="24"/>
        </w:rPr>
        <w:t>per valutare l’impatto di possibili nuove ondate epidemiche e l’effetto a lungo termine della campagna vaccinale</w:t>
      </w:r>
      <w:r w:rsidR="000E471B" w:rsidRPr="00991116">
        <w:rPr>
          <w:sz w:val="24"/>
          <w:szCs w:val="24"/>
        </w:rPr>
        <w:t>, nonché dell’adattamento dei vaccini alle nuove varianti</w:t>
      </w:r>
      <w:r w:rsidRPr="00991116">
        <w:rPr>
          <w:sz w:val="24"/>
          <w:szCs w:val="24"/>
        </w:rPr>
        <w:t xml:space="preserve">. </w:t>
      </w:r>
    </w:p>
    <w:sectPr w:rsidR="00725E10" w:rsidRPr="00991116" w:rsidSect="00DE07FB">
      <w:footerReference w:type="default" r:id="rId29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CE1D4" w14:textId="77777777" w:rsidR="00FF7293" w:rsidRDefault="00FF7293" w:rsidP="00876680">
      <w:pPr>
        <w:spacing w:after="0" w:line="240" w:lineRule="auto"/>
      </w:pPr>
      <w:r>
        <w:separator/>
      </w:r>
    </w:p>
  </w:endnote>
  <w:endnote w:type="continuationSeparator" w:id="0">
    <w:p w14:paraId="2B4BC5E4" w14:textId="77777777" w:rsidR="00FF7293" w:rsidRDefault="00FF7293" w:rsidP="0087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80111" w14:textId="1B80964C" w:rsidR="008658A8" w:rsidRDefault="008658A8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BC2879">
      <w:rPr>
        <w:noProof/>
      </w:rPr>
      <w:t>25</w:t>
    </w:r>
    <w:r>
      <w:rPr>
        <w:noProof/>
      </w:rPr>
      <w:fldChar w:fldCharType="end"/>
    </w:r>
  </w:p>
  <w:p w14:paraId="4F2DDEE3" w14:textId="77777777" w:rsidR="008658A8" w:rsidRDefault="008658A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5510D" w14:textId="77777777" w:rsidR="00FF7293" w:rsidRDefault="00FF7293" w:rsidP="00876680">
      <w:pPr>
        <w:spacing w:after="0" w:line="240" w:lineRule="auto"/>
      </w:pPr>
      <w:r>
        <w:separator/>
      </w:r>
    </w:p>
  </w:footnote>
  <w:footnote w:type="continuationSeparator" w:id="0">
    <w:p w14:paraId="0DD3BFB7" w14:textId="77777777" w:rsidR="00FF7293" w:rsidRDefault="00FF7293" w:rsidP="00876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602AD"/>
    <w:multiLevelType w:val="hybridMultilevel"/>
    <w:tmpl w:val="B5BEEFE2"/>
    <w:lvl w:ilvl="0" w:tplc="0410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77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" w15:restartNumberingAfterBreak="0">
    <w:nsid w:val="2FB90C44"/>
    <w:multiLevelType w:val="hybridMultilevel"/>
    <w:tmpl w:val="5ACCB5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07F8D"/>
    <w:multiLevelType w:val="hybridMultilevel"/>
    <w:tmpl w:val="1DC68D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3660C"/>
    <w:multiLevelType w:val="hybridMultilevel"/>
    <w:tmpl w:val="FF36442A"/>
    <w:lvl w:ilvl="0" w:tplc="6CEE889A">
      <w:numFmt w:val="bullet"/>
      <w:lvlText w:val="-"/>
      <w:lvlJc w:val="left"/>
      <w:pPr>
        <w:ind w:left="720" w:hanging="360"/>
      </w:pPr>
      <w:rPr>
        <w:rFonts w:ascii="Raleway" w:eastAsia="Times New Roman" w:hAnsi="Raleway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B7D50"/>
    <w:multiLevelType w:val="hybridMultilevel"/>
    <w:tmpl w:val="962CB27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B273C19"/>
    <w:multiLevelType w:val="hybridMultilevel"/>
    <w:tmpl w:val="A086B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3234BF"/>
    <w:multiLevelType w:val="multilevel"/>
    <w:tmpl w:val="607A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18426D"/>
    <w:multiLevelType w:val="hybridMultilevel"/>
    <w:tmpl w:val="6C7E9858"/>
    <w:lvl w:ilvl="0" w:tplc="ECC61D9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59133">
    <w:abstractNumId w:val="4"/>
  </w:num>
  <w:num w:numId="2" w16cid:durableId="1085953404">
    <w:abstractNumId w:val="0"/>
  </w:num>
  <w:num w:numId="3" w16cid:durableId="1184591766">
    <w:abstractNumId w:val="5"/>
  </w:num>
  <w:num w:numId="4" w16cid:durableId="1533032154">
    <w:abstractNumId w:val="3"/>
  </w:num>
  <w:num w:numId="5" w16cid:durableId="860899320">
    <w:abstractNumId w:val="6"/>
  </w:num>
  <w:num w:numId="6" w16cid:durableId="240986310">
    <w:abstractNumId w:val="2"/>
  </w:num>
  <w:num w:numId="7" w16cid:durableId="984163718">
    <w:abstractNumId w:val="7"/>
  </w:num>
  <w:num w:numId="8" w16cid:durableId="2146505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DA"/>
    <w:rsid w:val="000006C1"/>
    <w:rsid w:val="0000179D"/>
    <w:rsid w:val="00001D51"/>
    <w:rsid w:val="00003BB0"/>
    <w:rsid w:val="00005AA6"/>
    <w:rsid w:val="000063D7"/>
    <w:rsid w:val="000201AB"/>
    <w:rsid w:val="000201F3"/>
    <w:rsid w:val="000213BC"/>
    <w:rsid w:val="00023CE9"/>
    <w:rsid w:val="00027021"/>
    <w:rsid w:val="00027663"/>
    <w:rsid w:val="00030940"/>
    <w:rsid w:val="00033DC5"/>
    <w:rsid w:val="00033DC7"/>
    <w:rsid w:val="000349EF"/>
    <w:rsid w:val="00034C7E"/>
    <w:rsid w:val="00036732"/>
    <w:rsid w:val="00043CA4"/>
    <w:rsid w:val="00043CE7"/>
    <w:rsid w:val="0005043F"/>
    <w:rsid w:val="00052766"/>
    <w:rsid w:val="00052EA8"/>
    <w:rsid w:val="00055142"/>
    <w:rsid w:val="00055F01"/>
    <w:rsid w:val="00060182"/>
    <w:rsid w:val="00062801"/>
    <w:rsid w:val="00063531"/>
    <w:rsid w:val="00063AF0"/>
    <w:rsid w:val="00070B92"/>
    <w:rsid w:val="000737FD"/>
    <w:rsid w:val="000825A2"/>
    <w:rsid w:val="00083329"/>
    <w:rsid w:val="00086954"/>
    <w:rsid w:val="00087E8E"/>
    <w:rsid w:val="000937A2"/>
    <w:rsid w:val="00094077"/>
    <w:rsid w:val="00097437"/>
    <w:rsid w:val="000A5D6C"/>
    <w:rsid w:val="000A7B4F"/>
    <w:rsid w:val="000B5339"/>
    <w:rsid w:val="000B75E7"/>
    <w:rsid w:val="000C4C27"/>
    <w:rsid w:val="000C6FD2"/>
    <w:rsid w:val="000C71D0"/>
    <w:rsid w:val="000C763C"/>
    <w:rsid w:val="000D237D"/>
    <w:rsid w:val="000D5C6A"/>
    <w:rsid w:val="000E471B"/>
    <w:rsid w:val="000E7BD7"/>
    <w:rsid w:val="000E7EBE"/>
    <w:rsid w:val="000F0395"/>
    <w:rsid w:val="000F0587"/>
    <w:rsid w:val="000F3E1F"/>
    <w:rsid w:val="001033C6"/>
    <w:rsid w:val="00104155"/>
    <w:rsid w:val="001057C4"/>
    <w:rsid w:val="0011679E"/>
    <w:rsid w:val="00123017"/>
    <w:rsid w:val="001238ED"/>
    <w:rsid w:val="001241EB"/>
    <w:rsid w:val="00125A4D"/>
    <w:rsid w:val="00130B0B"/>
    <w:rsid w:val="00133C33"/>
    <w:rsid w:val="001361A8"/>
    <w:rsid w:val="0013766C"/>
    <w:rsid w:val="0014021B"/>
    <w:rsid w:val="001410DA"/>
    <w:rsid w:val="00143636"/>
    <w:rsid w:val="00150245"/>
    <w:rsid w:val="00150C0F"/>
    <w:rsid w:val="00151978"/>
    <w:rsid w:val="001558E5"/>
    <w:rsid w:val="0016160C"/>
    <w:rsid w:val="00161DA7"/>
    <w:rsid w:val="00164AA1"/>
    <w:rsid w:val="0017238F"/>
    <w:rsid w:val="00172694"/>
    <w:rsid w:val="00173480"/>
    <w:rsid w:val="001735DC"/>
    <w:rsid w:val="00174BB4"/>
    <w:rsid w:val="0018022D"/>
    <w:rsid w:val="00182C65"/>
    <w:rsid w:val="00184EE8"/>
    <w:rsid w:val="00186E14"/>
    <w:rsid w:val="00190173"/>
    <w:rsid w:val="001901F8"/>
    <w:rsid w:val="001A02B6"/>
    <w:rsid w:val="001A18D9"/>
    <w:rsid w:val="001A1E5A"/>
    <w:rsid w:val="001A22E3"/>
    <w:rsid w:val="001A4684"/>
    <w:rsid w:val="001A4AEE"/>
    <w:rsid w:val="001A5612"/>
    <w:rsid w:val="001A7E5C"/>
    <w:rsid w:val="001B2CFD"/>
    <w:rsid w:val="001B3055"/>
    <w:rsid w:val="001B48B7"/>
    <w:rsid w:val="001B7D6F"/>
    <w:rsid w:val="001D23A4"/>
    <w:rsid w:val="001D41C1"/>
    <w:rsid w:val="001E19A4"/>
    <w:rsid w:val="001E1BEB"/>
    <w:rsid w:val="001E1EDE"/>
    <w:rsid w:val="001E23FC"/>
    <w:rsid w:val="001E3E3A"/>
    <w:rsid w:val="001E580C"/>
    <w:rsid w:val="001E6E1B"/>
    <w:rsid w:val="001F0A20"/>
    <w:rsid w:val="001F130C"/>
    <w:rsid w:val="001F2122"/>
    <w:rsid w:val="001F2EF9"/>
    <w:rsid w:val="001F4CD5"/>
    <w:rsid w:val="001F5D39"/>
    <w:rsid w:val="001F7834"/>
    <w:rsid w:val="00202174"/>
    <w:rsid w:val="00204FDA"/>
    <w:rsid w:val="0020668C"/>
    <w:rsid w:val="00206E53"/>
    <w:rsid w:val="00207644"/>
    <w:rsid w:val="00207720"/>
    <w:rsid w:val="00210428"/>
    <w:rsid w:val="002106FD"/>
    <w:rsid w:val="00212657"/>
    <w:rsid w:val="00213C9A"/>
    <w:rsid w:val="00215640"/>
    <w:rsid w:val="00217CDB"/>
    <w:rsid w:val="00221B00"/>
    <w:rsid w:val="002221A2"/>
    <w:rsid w:val="002224EC"/>
    <w:rsid w:val="002252EC"/>
    <w:rsid w:val="00226DFD"/>
    <w:rsid w:val="00230A90"/>
    <w:rsid w:val="002325B3"/>
    <w:rsid w:val="00233381"/>
    <w:rsid w:val="0023392D"/>
    <w:rsid w:val="00233CAB"/>
    <w:rsid w:val="002345AE"/>
    <w:rsid w:val="002405DE"/>
    <w:rsid w:val="00242242"/>
    <w:rsid w:val="00242D4D"/>
    <w:rsid w:val="00244E73"/>
    <w:rsid w:val="00245056"/>
    <w:rsid w:val="0025180E"/>
    <w:rsid w:val="00253834"/>
    <w:rsid w:val="00256E37"/>
    <w:rsid w:val="002579A0"/>
    <w:rsid w:val="00257A24"/>
    <w:rsid w:val="0026086A"/>
    <w:rsid w:val="00262C37"/>
    <w:rsid w:val="00264A3B"/>
    <w:rsid w:val="002652D6"/>
    <w:rsid w:val="0027144A"/>
    <w:rsid w:val="002729AC"/>
    <w:rsid w:val="002733BB"/>
    <w:rsid w:val="0027344E"/>
    <w:rsid w:val="00273A63"/>
    <w:rsid w:val="002801ED"/>
    <w:rsid w:val="00282FDA"/>
    <w:rsid w:val="00287D2A"/>
    <w:rsid w:val="00287D68"/>
    <w:rsid w:val="00290A71"/>
    <w:rsid w:val="00290C49"/>
    <w:rsid w:val="00295702"/>
    <w:rsid w:val="002A2C39"/>
    <w:rsid w:val="002A2D62"/>
    <w:rsid w:val="002A3377"/>
    <w:rsid w:val="002A59F4"/>
    <w:rsid w:val="002A5A93"/>
    <w:rsid w:val="002A689E"/>
    <w:rsid w:val="002A749B"/>
    <w:rsid w:val="002B0AAB"/>
    <w:rsid w:val="002B2C8F"/>
    <w:rsid w:val="002B6BDD"/>
    <w:rsid w:val="002B700B"/>
    <w:rsid w:val="002B7583"/>
    <w:rsid w:val="002C359A"/>
    <w:rsid w:val="002C6D57"/>
    <w:rsid w:val="002D0BB3"/>
    <w:rsid w:val="002D1E76"/>
    <w:rsid w:val="002D2AE6"/>
    <w:rsid w:val="002D4172"/>
    <w:rsid w:val="002D6386"/>
    <w:rsid w:val="002E032C"/>
    <w:rsid w:val="002F140F"/>
    <w:rsid w:val="002F2A98"/>
    <w:rsid w:val="00301991"/>
    <w:rsid w:val="003109D7"/>
    <w:rsid w:val="00313C20"/>
    <w:rsid w:val="00315471"/>
    <w:rsid w:val="00317371"/>
    <w:rsid w:val="00317AF4"/>
    <w:rsid w:val="003207EC"/>
    <w:rsid w:val="003212F7"/>
    <w:rsid w:val="00331713"/>
    <w:rsid w:val="00332BA8"/>
    <w:rsid w:val="00334453"/>
    <w:rsid w:val="00336B8B"/>
    <w:rsid w:val="00337AF1"/>
    <w:rsid w:val="003430FF"/>
    <w:rsid w:val="00346DAF"/>
    <w:rsid w:val="00353709"/>
    <w:rsid w:val="003554F2"/>
    <w:rsid w:val="00366971"/>
    <w:rsid w:val="00370805"/>
    <w:rsid w:val="00372E56"/>
    <w:rsid w:val="00375699"/>
    <w:rsid w:val="00380BD4"/>
    <w:rsid w:val="00382506"/>
    <w:rsid w:val="00383232"/>
    <w:rsid w:val="0038614D"/>
    <w:rsid w:val="00386BA2"/>
    <w:rsid w:val="00387659"/>
    <w:rsid w:val="003900F1"/>
    <w:rsid w:val="00397343"/>
    <w:rsid w:val="003A1C90"/>
    <w:rsid w:val="003A2AD5"/>
    <w:rsid w:val="003A45D7"/>
    <w:rsid w:val="003A45FE"/>
    <w:rsid w:val="003A6F2F"/>
    <w:rsid w:val="003A7BF4"/>
    <w:rsid w:val="003B20A6"/>
    <w:rsid w:val="003B648A"/>
    <w:rsid w:val="003C5770"/>
    <w:rsid w:val="003C783B"/>
    <w:rsid w:val="003D0221"/>
    <w:rsid w:val="003D1141"/>
    <w:rsid w:val="003D3EF7"/>
    <w:rsid w:val="003D467D"/>
    <w:rsid w:val="003D5E7D"/>
    <w:rsid w:val="003D6181"/>
    <w:rsid w:val="003D6240"/>
    <w:rsid w:val="003E131B"/>
    <w:rsid w:val="003F2E6A"/>
    <w:rsid w:val="003F51F2"/>
    <w:rsid w:val="003F5682"/>
    <w:rsid w:val="003F5BAF"/>
    <w:rsid w:val="003F6205"/>
    <w:rsid w:val="0040004B"/>
    <w:rsid w:val="00401690"/>
    <w:rsid w:val="004053D0"/>
    <w:rsid w:val="004072C1"/>
    <w:rsid w:val="00407BE1"/>
    <w:rsid w:val="004101D7"/>
    <w:rsid w:val="00411CB5"/>
    <w:rsid w:val="00412BA4"/>
    <w:rsid w:val="004138BD"/>
    <w:rsid w:val="004146D5"/>
    <w:rsid w:val="004201A9"/>
    <w:rsid w:val="00423AEA"/>
    <w:rsid w:val="00423C42"/>
    <w:rsid w:val="004243C9"/>
    <w:rsid w:val="004278D6"/>
    <w:rsid w:val="00430B49"/>
    <w:rsid w:val="00431BD3"/>
    <w:rsid w:val="0044269E"/>
    <w:rsid w:val="00442C9F"/>
    <w:rsid w:val="004477B3"/>
    <w:rsid w:val="004508DD"/>
    <w:rsid w:val="00453E79"/>
    <w:rsid w:val="004546C2"/>
    <w:rsid w:val="0045693F"/>
    <w:rsid w:val="004645C7"/>
    <w:rsid w:val="00464690"/>
    <w:rsid w:val="004659F6"/>
    <w:rsid w:val="004674CC"/>
    <w:rsid w:val="00470FC1"/>
    <w:rsid w:val="004719C6"/>
    <w:rsid w:val="004805CE"/>
    <w:rsid w:val="00481747"/>
    <w:rsid w:val="004869FE"/>
    <w:rsid w:val="004976F0"/>
    <w:rsid w:val="004A348F"/>
    <w:rsid w:val="004A69FA"/>
    <w:rsid w:val="004B08BC"/>
    <w:rsid w:val="004B4BCA"/>
    <w:rsid w:val="004C1C62"/>
    <w:rsid w:val="004C2C43"/>
    <w:rsid w:val="004C4B6A"/>
    <w:rsid w:val="004D0D93"/>
    <w:rsid w:val="004D19F6"/>
    <w:rsid w:val="004D20D5"/>
    <w:rsid w:val="004D364B"/>
    <w:rsid w:val="004D3C6F"/>
    <w:rsid w:val="004D6196"/>
    <w:rsid w:val="004E3DF1"/>
    <w:rsid w:val="004E5CBD"/>
    <w:rsid w:val="004E77AA"/>
    <w:rsid w:val="004E786D"/>
    <w:rsid w:val="004F6C63"/>
    <w:rsid w:val="004F6FE8"/>
    <w:rsid w:val="00500D1B"/>
    <w:rsid w:val="00512A66"/>
    <w:rsid w:val="00515296"/>
    <w:rsid w:val="00517FB7"/>
    <w:rsid w:val="005207C0"/>
    <w:rsid w:val="005220E3"/>
    <w:rsid w:val="00524740"/>
    <w:rsid w:val="00525614"/>
    <w:rsid w:val="005310E4"/>
    <w:rsid w:val="00532558"/>
    <w:rsid w:val="005341FF"/>
    <w:rsid w:val="00535C20"/>
    <w:rsid w:val="00540DEA"/>
    <w:rsid w:val="00546101"/>
    <w:rsid w:val="00547C24"/>
    <w:rsid w:val="00551F17"/>
    <w:rsid w:val="00556728"/>
    <w:rsid w:val="005567C7"/>
    <w:rsid w:val="005602B2"/>
    <w:rsid w:val="00562168"/>
    <w:rsid w:val="00562D6F"/>
    <w:rsid w:val="00563384"/>
    <w:rsid w:val="00563E5B"/>
    <w:rsid w:val="0056601F"/>
    <w:rsid w:val="005718C8"/>
    <w:rsid w:val="00572AB5"/>
    <w:rsid w:val="00574A03"/>
    <w:rsid w:val="00575DC2"/>
    <w:rsid w:val="005777B4"/>
    <w:rsid w:val="00580434"/>
    <w:rsid w:val="0058266C"/>
    <w:rsid w:val="00582C1E"/>
    <w:rsid w:val="005834FE"/>
    <w:rsid w:val="005870EB"/>
    <w:rsid w:val="00590009"/>
    <w:rsid w:val="00591090"/>
    <w:rsid w:val="00591113"/>
    <w:rsid w:val="005916A6"/>
    <w:rsid w:val="005919AE"/>
    <w:rsid w:val="005930AF"/>
    <w:rsid w:val="00594C2E"/>
    <w:rsid w:val="0059692B"/>
    <w:rsid w:val="00597B39"/>
    <w:rsid w:val="005A0A29"/>
    <w:rsid w:val="005A1D4D"/>
    <w:rsid w:val="005A30CF"/>
    <w:rsid w:val="005A79BD"/>
    <w:rsid w:val="005B21A1"/>
    <w:rsid w:val="005B44EA"/>
    <w:rsid w:val="005B4E56"/>
    <w:rsid w:val="005B5D1F"/>
    <w:rsid w:val="005C00A6"/>
    <w:rsid w:val="005C145E"/>
    <w:rsid w:val="005C1FA2"/>
    <w:rsid w:val="005C279B"/>
    <w:rsid w:val="005C3078"/>
    <w:rsid w:val="005C62AD"/>
    <w:rsid w:val="005C64A8"/>
    <w:rsid w:val="005D1EC5"/>
    <w:rsid w:val="005D28C1"/>
    <w:rsid w:val="005D7945"/>
    <w:rsid w:val="005D7CE1"/>
    <w:rsid w:val="005E35D4"/>
    <w:rsid w:val="005E46CD"/>
    <w:rsid w:val="005F39CE"/>
    <w:rsid w:val="005F7F22"/>
    <w:rsid w:val="006014F0"/>
    <w:rsid w:val="006056E4"/>
    <w:rsid w:val="00607E6D"/>
    <w:rsid w:val="00607FA1"/>
    <w:rsid w:val="006100C1"/>
    <w:rsid w:val="006122C5"/>
    <w:rsid w:val="00617399"/>
    <w:rsid w:val="006207BF"/>
    <w:rsid w:val="0062543B"/>
    <w:rsid w:val="00627090"/>
    <w:rsid w:val="0063095F"/>
    <w:rsid w:val="00634421"/>
    <w:rsid w:val="00634CE7"/>
    <w:rsid w:val="00635B54"/>
    <w:rsid w:val="00636AD4"/>
    <w:rsid w:val="00644C34"/>
    <w:rsid w:val="00650536"/>
    <w:rsid w:val="00651284"/>
    <w:rsid w:val="00654D0A"/>
    <w:rsid w:val="006553B2"/>
    <w:rsid w:val="0066756E"/>
    <w:rsid w:val="00674743"/>
    <w:rsid w:val="00675386"/>
    <w:rsid w:val="00677298"/>
    <w:rsid w:val="0068194F"/>
    <w:rsid w:val="006843B2"/>
    <w:rsid w:val="006879F7"/>
    <w:rsid w:val="00687E2E"/>
    <w:rsid w:val="0069416F"/>
    <w:rsid w:val="00694AC3"/>
    <w:rsid w:val="00694D95"/>
    <w:rsid w:val="006A1194"/>
    <w:rsid w:val="006A1746"/>
    <w:rsid w:val="006A3B1B"/>
    <w:rsid w:val="006A6547"/>
    <w:rsid w:val="006B3132"/>
    <w:rsid w:val="006B3CF9"/>
    <w:rsid w:val="006C1D40"/>
    <w:rsid w:val="006C2151"/>
    <w:rsid w:val="006C46CC"/>
    <w:rsid w:val="006C474A"/>
    <w:rsid w:val="006C7ED1"/>
    <w:rsid w:val="006D24AA"/>
    <w:rsid w:val="006D3292"/>
    <w:rsid w:val="006E6124"/>
    <w:rsid w:val="006E61F0"/>
    <w:rsid w:val="006F25BB"/>
    <w:rsid w:val="006F3D82"/>
    <w:rsid w:val="006F3F45"/>
    <w:rsid w:val="00704A46"/>
    <w:rsid w:val="00706184"/>
    <w:rsid w:val="00706E7C"/>
    <w:rsid w:val="0071076C"/>
    <w:rsid w:val="007123E6"/>
    <w:rsid w:val="00713115"/>
    <w:rsid w:val="00715E55"/>
    <w:rsid w:val="007163B9"/>
    <w:rsid w:val="00721B54"/>
    <w:rsid w:val="00725E10"/>
    <w:rsid w:val="007306A7"/>
    <w:rsid w:val="00732C46"/>
    <w:rsid w:val="00733841"/>
    <w:rsid w:val="00734653"/>
    <w:rsid w:val="00741F9E"/>
    <w:rsid w:val="00747AC1"/>
    <w:rsid w:val="00752E1E"/>
    <w:rsid w:val="007536C6"/>
    <w:rsid w:val="00755280"/>
    <w:rsid w:val="0076164F"/>
    <w:rsid w:val="00764695"/>
    <w:rsid w:val="007649FD"/>
    <w:rsid w:val="00764CF6"/>
    <w:rsid w:val="00765451"/>
    <w:rsid w:val="00767D2D"/>
    <w:rsid w:val="00770FB6"/>
    <w:rsid w:val="00776466"/>
    <w:rsid w:val="00785A19"/>
    <w:rsid w:val="00786934"/>
    <w:rsid w:val="00790A56"/>
    <w:rsid w:val="00791AAF"/>
    <w:rsid w:val="00792921"/>
    <w:rsid w:val="007961DC"/>
    <w:rsid w:val="007A2AE7"/>
    <w:rsid w:val="007A5DE4"/>
    <w:rsid w:val="007B00BF"/>
    <w:rsid w:val="007B1E7C"/>
    <w:rsid w:val="007B4A3C"/>
    <w:rsid w:val="007C2115"/>
    <w:rsid w:val="007C310C"/>
    <w:rsid w:val="007C6360"/>
    <w:rsid w:val="007C7422"/>
    <w:rsid w:val="007D6A92"/>
    <w:rsid w:val="007E09FB"/>
    <w:rsid w:val="007E1B7D"/>
    <w:rsid w:val="007E1F05"/>
    <w:rsid w:val="007E2538"/>
    <w:rsid w:val="007E28A4"/>
    <w:rsid w:val="007E2DBC"/>
    <w:rsid w:val="007E63B6"/>
    <w:rsid w:val="007E7303"/>
    <w:rsid w:val="0080105A"/>
    <w:rsid w:val="00804A2E"/>
    <w:rsid w:val="00804DAB"/>
    <w:rsid w:val="008067DC"/>
    <w:rsid w:val="00812E78"/>
    <w:rsid w:val="008146F9"/>
    <w:rsid w:val="00820650"/>
    <w:rsid w:val="00821EE4"/>
    <w:rsid w:val="00824C59"/>
    <w:rsid w:val="00827333"/>
    <w:rsid w:val="008305C5"/>
    <w:rsid w:val="00835CC7"/>
    <w:rsid w:val="008413EF"/>
    <w:rsid w:val="008429A6"/>
    <w:rsid w:val="00844815"/>
    <w:rsid w:val="00845FF4"/>
    <w:rsid w:val="00846C9B"/>
    <w:rsid w:val="00850690"/>
    <w:rsid w:val="008512AD"/>
    <w:rsid w:val="00853034"/>
    <w:rsid w:val="008541DE"/>
    <w:rsid w:val="00860986"/>
    <w:rsid w:val="00862951"/>
    <w:rsid w:val="00862E2C"/>
    <w:rsid w:val="00863ECE"/>
    <w:rsid w:val="008658A8"/>
    <w:rsid w:val="00867336"/>
    <w:rsid w:val="0086787B"/>
    <w:rsid w:val="00871C1B"/>
    <w:rsid w:val="00876680"/>
    <w:rsid w:val="00880087"/>
    <w:rsid w:val="00882163"/>
    <w:rsid w:val="00883F3D"/>
    <w:rsid w:val="00884A9F"/>
    <w:rsid w:val="00886C64"/>
    <w:rsid w:val="00890B07"/>
    <w:rsid w:val="008920FF"/>
    <w:rsid w:val="008923A2"/>
    <w:rsid w:val="00895088"/>
    <w:rsid w:val="008A1CAD"/>
    <w:rsid w:val="008A25CE"/>
    <w:rsid w:val="008A2F24"/>
    <w:rsid w:val="008A70FC"/>
    <w:rsid w:val="008A76B8"/>
    <w:rsid w:val="008B1815"/>
    <w:rsid w:val="008B3CF5"/>
    <w:rsid w:val="008B485D"/>
    <w:rsid w:val="008B5330"/>
    <w:rsid w:val="008B6015"/>
    <w:rsid w:val="008B67E2"/>
    <w:rsid w:val="008C0106"/>
    <w:rsid w:val="008C1334"/>
    <w:rsid w:val="008C2F3E"/>
    <w:rsid w:val="008C361E"/>
    <w:rsid w:val="008C5A2A"/>
    <w:rsid w:val="008C5B60"/>
    <w:rsid w:val="008C6B1A"/>
    <w:rsid w:val="008D0900"/>
    <w:rsid w:val="008D0B7F"/>
    <w:rsid w:val="008D1839"/>
    <w:rsid w:val="008D1A6C"/>
    <w:rsid w:val="008D2110"/>
    <w:rsid w:val="008D27CF"/>
    <w:rsid w:val="008D6B9C"/>
    <w:rsid w:val="008E0DC9"/>
    <w:rsid w:val="008E763D"/>
    <w:rsid w:val="008F118C"/>
    <w:rsid w:val="008F1663"/>
    <w:rsid w:val="00900E8C"/>
    <w:rsid w:val="0090168E"/>
    <w:rsid w:val="00901C01"/>
    <w:rsid w:val="00904473"/>
    <w:rsid w:val="009057FF"/>
    <w:rsid w:val="009063E3"/>
    <w:rsid w:val="00906D2A"/>
    <w:rsid w:val="00912999"/>
    <w:rsid w:val="00912C11"/>
    <w:rsid w:val="009147D3"/>
    <w:rsid w:val="0091613D"/>
    <w:rsid w:val="009169C8"/>
    <w:rsid w:val="0092038C"/>
    <w:rsid w:val="00922EF0"/>
    <w:rsid w:val="009230B1"/>
    <w:rsid w:val="00924F95"/>
    <w:rsid w:val="00926529"/>
    <w:rsid w:val="00926C50"/>
    <w:rsid w:val="00930C88"/>
    <w:rsid w:val="009325CD"/>
    <w:rsid w:val="009359E7"/>
    <w:rsid w:val="00936773"/>
    <w:rsid w:val="009420B7"/>
    <w:rsid w:val="00945A80"/>
    <w:rsid w:val="009531BB"/>
    <w:rsid w:val="00954485"/>
    <w:rsid w:val="00965FC6"/>
    <w:rsid w:val="00967165"/>
    <w:rsid w:val="00967D60"/>
    <w:rsid w:val="00970077"/>
    <w:rsid w:val="00971244"/>
    <w:rsid w:val="009764DC"/>
    <w:rsid w:val="00977CEE"/>
    <w:rsid w:val="00980F13"/>
    <w:rsid w:val="00984B23"/>
    <w:rsid w:val="009861F0"/>
    <w:rsid w:val="0099007D"/>
    <w:rsid w:val="00990A16"/>
    <w:rsid w:val="00991116"/>
    <w:rsid w:val="00991824"/>
    <w:rsid w:val="00991EAB"/>
    <w:rsid w:val="00996FC5"/>
    <w:rsid w:val="009A5E44"/>
    <w:rsid w:val="009B0271"/>
    <w:rsid w:val="009B4423"/>
    <w:rsid w:val="009B4A78"/>
    <w:rsid w:val="009B684A"/>
    <w:rsid w:val="009C2F83"/>
    <w:rsid w:val="009C4F5E"/>
    <w:rsid w:val="009C5486"/>
    <w:rsid w:val="009C591B"/>
    <w:rsid w:val="009C6F93"/>
    <w:rsid w:val="009D3CC3"/>
    <w:rsid w:val="009D3EDD"/>
    <w:rsid w:val="009D7775"/>
    <w:rsid w:val="009E019B"/>
    <w:rsid w:val="009E1C0A"/>
    <w:rsid w:val="009E291D"/>
    <w:rsid w:val="009E3D9E"/>
    <w:rsid w:val="009E5EA7"/>
    <w:rsid w:val="009E68F9"/>
    <w:rsid w:val="009F7161"/>
    <w:rsid w:val="00A04FC8"/>
    <w:rsid w:val="00A123B5"/>
    <w:rsid w:val="00A136C9"/>
    <w:rsid w:val="00A16887"/>
    <w:rsid w:val="00A16929"/>
    <w:rsid w:val="00A205DC"/>
    <w:rsid w:val="00A22636"/>
    <w:rsid w:val="00A22763"/>
    <w:rsid w:val="00A274C0"/>
    <w:rsid w:val="00A303AA"/>
    <w:rsid w:val="00A308EB"/>
    <w:rsid w:val="00A30FC0"/>
    <w:rsid w:val="00A33E81"/>
    <w:rsid w:val="00A345C3"/>
    <w:rsid w:val="00A40101"/>
    <w:rsid w:val="00A404D8"/>
    <w:rsid w:val="00A40ED7"/>
    <w:rsid w:val="00A41D9E"/>
    <w:rsid w:val="00A41DF3"/>
    <w:rsid w:val="00A42749"/>
    <w:rsid w:val="00A42B0D"/>
    <w:rsid w:val="00A442FA"/>
    <w:rsid w:val="00A44D7B"/>
    <w:rsid w:val="00A503AA"/>
    <w:rsid w:val="00A52265"/>
    <w:rsid w:val="00A54B53"/>
    <w:rsid w:val="00A564B3"/>
    <w:rsid w:val="00A57B47"/>
    <w:rsid w:val="00A611CB"/>
    <w:rsid w:val="00A61FE9"/>
    <w:rsid w:val="00A62781"/>
    <w:rsid w:val="00A628D4"/>
    <w:rsid w:val="00A62D76"/>
    <w:rsid w:val="00A644EB"/>
    <w:rsid w:val="00A64590"/>
    <w:rsid w:val="00A66A73"/>
    <w:rsid w:val="00A729D6"/>
    <w:rsid w:val="00A73DE8"/>
    <w:rsid w:val="00A77DE1"/>
    <w:rsid w:val="00A80E2F"/>
    <w:rsid w:val="00A85919"/>
    <w:rsid w:val="00A86444"/>
    <w:rsid w:val="00A87765"/>
    <w:rsid w:val="00A92517"/>
    <w:rsid w:val="00A930FB"/>
    <w:rsid w:val="00A967EB"/>
    <w:rsid w:val="00A97548"/>
    <w:rsid w:val="00A97601"/>
    <w:rsid w:val="00A97911"/>
    <w:rsid w:val="00AA4D17"/>
    <w:rsid w:val="00AB0F50"/>
    <w:rsid w:val="00AB29DF"/>
    <w:rsid w:val="00AB2F9F"/>
    <w:rsid w:val="00AB6401"/>
    <w:rsid w:val="00AC1626"/>
    <w:rsid w:val="00AC3539"/>
    <w:rsid w:val="00AC3C89"/>
    <w:rsid w:val="00AD0B69"/>
    <w:rsid w:val="00AD3307"/>
    <w:rsid w:val="00AD471D"/>
    <w:rsid w:val="00AD6CC5"/>
    <w:rsid w:val="00AE13BE"/>
    <w:rsid w:val="00AE1400"/>
    <w:rsid w:val="00AE1B2C"/>
    <w:rsid w:val="00AE4EF0"/>
    <w:rsid w:val="00AE6BD4"/>
    <w:rsid w:val="00AF1969"/>
    <w:rsid w:val="00AF20F7"/>
    <w:rsid w:val="00AF2F45"/>
    <w:rsid w:val="00B00BA7"/>
    <w:rsid w:val="00B054D7"/>
    <w:rsid w:val="00B07919"/>
    <w:rsid w:val="00B11791"/>
    <w:rsid w:val="00B172B4"/>
    <w:rsid w:val="00B174B9"/>
    <w:rsid w:val="00B20481"/>
    <w:rsid w:val="00B23C1A"/>
    <w:rsid w:val="00B2410B"/>
    <w:rsid w:val="00B25B3D"/>
    <w:rsid w:val="00B301DB"/>
    <w:rsid w:val="00B3161B"/>
    <w:rsid w:val="00B32CC2"/>
    <w:rsid w:val="00B3303F"/>
    <w:rsid w:val="00B373A8"/>
    <w:rsid w:val="00B40C15"/>
    <w:rsid w:val="00B533A5"/>
    <w:rsid w:val="00B607E4"/>
    <w:rsid w:val="00B61B7B"/>
    <w:rsid w:val="00B64045"/>
    <w:rsid w:val="00B70F49"/>
    <w:rsid w:val="00B742F6"/>
    <w:rsid w:val="00B75703"/>
    <w:rsid w:val="00B77772"/>
    <w:rsid w:val="00B81926"/>
    <w:rsid w:val="00B86B67"/>
    <w:rsid w:val="00B904DF"/>
    <w:rsid w:val="00BA2079"/>
    <w:rsid w:val="00BA3905"/>
    <w:rsid w:val="00BA7291"/>
    <w:rsid w:val="00BB4DAB"/>
    <w:rsid w:val="00BB622F"/>
    <w:rsid w:val="00BC2879"/>
    <w:rsid w:val="00BC2931"/>
    <w:rsid w:val="00BC2B70"/>
    <w:rsid w:val="00BC3606"/>
    <w:rsid w:val="00BC3844"/>
    <w:rsid w:val="00BC6756"/>
    <w:rsid w:val="00BD299E"/>
    <w:rsid w:val="00BD2A5D"/>
    <w:rsid w:val="00BD3634"/>
    <w:rsid w:val="00BD49A3"/>
    <w:rsid w:val="00BE6254"/>
    <w:rsid w:val="00BF2546"/>
    <w:rsid w:val="00BF4C85"/>
    <w:rsid w:val="00C0045D"/>
    <w:rsid w:val="00C0441C"/>
    <w:rsid w:val="00C05C5B"/>
    <w:rsid w:val="00C11EA7"/>
    <w:rsid w:val="00C122F1"/>
    <w:rsid w:val="00C14ABD"/>
    <w:rsid w:val="00C17CC8"/>
    <w:rsid w:val="00C20B1B"/>
    <w:rsid w:val="00C237D3"/>
    <w:rsid w:val="00C3263C"/>
    <w:rsid w:val="00C329C9"/>
    <w:rsid w:val="00C3454C"/>
    <w:rsid w:val="00C34657"/>
    <w:rsid w:val="00C361DF"/>
    <w:rsid w:val="00C365AD"/>
    <w:rsid w:val="00C40302"/>
    <w:rsid w:val="00C45FB7"/>
    <w:rsid w:val="00C47491"/>
    <w:rsid w:val="00C54DC5"/>
    <w:rsid w:val="00C576DA"/>
    <w:rsid w:val="00C62E45"/>
    <w:rsid w:val="00C630AD"/>
    <w:rsid w:val="00C645D2"/>
    <w:rsid w:val="00C66043"/>
    <w:rsid w:val="00C7194A"/>
    <w:rsid w:val="00C82085"/>
    <w:rsid w:val="00C8439A"/>
    <w:rsid w:val="00C873B8"/>
    <w:rsid w:val="00C91531"/>
    <w:rsid w:val="00C9170E"/>
    <w:rsid w:val="00C96CDF"/>
    <w:rsid w:val="00CA09C0"/>
    <w:rsid w:val="00CA3E2B"/>
    <w:rsid w:val="00CA505A"/>
    <w:rsid w:val="00CB4925"/>
    <w:rsid w:val="00CB4FEF"/>
    <w:rsid w:val="00CB581F"/>
    <w:rsid w:val="00CB6DC4"/>
    <w:rsid w:val="00CC1BE9"/>
    <w:rsid w:val="00CC2545"/>
    <w:rsid w:val="00CC2A2B"/>
    <w:rsid w:val="00CC3D4E"/>
    <w:rsid w:val="00CD33A4"/>
    <w:rsid w:val="00CD3B1E"/>
    <w:rsid w:val="00CD4F96"/>
    <w:rsid w:val="00CD7F83"/>
    <w:rsid w:val="00CE02B6"/>
    <w:rsid w:val="00CE1108"/>
    <w:rsid w:val="00CE1685"/>
    <w:rsid w:val="00CE1AFD"/>
    <w:rsid w:val="00CE6464"/>
    <w:rsid w:val="00CF4C8E"/>
    <w:rsid w:val="00CF7434"/>
    <w:rsid w:val="00D059A2"/>
    <w:rsid w:val="00D105CB"/>
    <w:rsid w:val="00D1258D"/>
    <w:rsid w:val="00D1349F"/>
    <w:rsid w:val="00D13D70"/>
    <w:rsid w:val="00D20D7E"/>
    <w:rsid w:val="00D21E67"/>
    <w:rsid w:val="00D23E91"/>
    <w:rsid w:val="00D2644E"/>
    <w:rsid w:val="00D318A4"/>
    <w:rsid w:val="00D3453A"/>
    <w:rsid w:val="00D3480F"/>
    <w:rsid w:val="00D351B5"/>
    <w:rsid w:val="00D35802"/>
    <w:rsid w:val="00D376F0"/>
    <w:rsid w:val="00D37D2E"/>
    <w:rsid w:val="00D40A47"/>
    <w:rsid w:val="00D415E1"/>
    <w:rsid w:val="00D41A5F"/>
    <w:rsid w:val="00D43A87"/>
    <w:rsid w:val="00D46610"/>
    <w:rsid w:val="00D554F6"/>
    <w:rsid w:val="00D56E0D"/>
    <w:rsid w:val="00D70A09"/>
    <w:rsid w:val="00D71EE7"/>
    <w:rsid w:val="00D77083"/>
    <w:rsid w:val="00D87A44"/>
    <w:rsid w:val="00D97E98"/>
    <w:rsid w:val="00DA0686"/>
    <w:rsid w:val="00DA1651"/>
    <w:rsid w:val="00DA17C6"/>
    <w:rsid w:val="00DA7CE2"/>
    <w:rsid w:val="00DB5AE9"/>
    <w:rsid w:val="00DC6C81"/>
    <w:rsid w:val="00DD0270"/>
    <w:rsid w:val="00DD3CB0"/>
    <w:rsid w:val="00DD3D46"/>
    <w:rsid w:val="00DD3DBA"/>
    <w:rsid w:val="00DE07FB"/>
    <w:rsid w:val="00DE1CEA"/>
    <w:rsid w:val="00DE29B1"/>
    <w:rsid w:val="00DE3CE6"/>
    <w:rsid w:val="00DE5009"/>
    <w:rsid w:val="00DE6A57"/>
    <w:rsid w:val="00DF171C"/>
    <w:rsid w:val="00DF1A41"/>
    <w:rsid w:val="00DF33FC"/>
    <w:rsid w:val="00DF7484"/>
    <w:rsid w:val="00E0001A"/>
    <w:rsid w:val="00E01D2A"/>
    <w:rsid w:val="00E02632"/>
    <w:rsid w:val="00E041F4"/>
    <w:rsid w:val="00E10F4A"/>
    <w:rsid w:val="00E17527"/>
    <w:rsid w:val="00E17D43"/>
    <w:rsid w:val="00E23325"/>
    <w:rsid w:val="00E270ED"/>
    <w:rsid w:val="00E33428"/>
    <w:rsid w:val="00E36864"/>
    <w:rsid w:val="00E4005C"/>
    <w:rsid w:val="00E41825"/>
    <w:rsid w:val="00E45514"/>
    <w:rsid w:val="00E4625F"/>
    <w:rsid w:val="00E5011E"/>
    <w:rsid w:val="00E52374"/>
    <w:rsid w:val="00E53C36"/>
    <w:rsid w:val="00E603A5"/>
    <w:rsid w:val="00E668B0"/>
    <w:rsid w:val="00E72269"/>
    <w:rsid w:val="00E72566"/>
    <w:rsid w:val="00E80A9C"/>
    <w:rsid w:val="00E811FE"/>
    <w:rsid w:val="00E83EEF"/>
    <w:rsid w:val="00E858DE"/>
    <w:rsid w:val="00E859A9"/>
    <w:rsid w:val="00E876F6"/>
    <w:rsid w:val="00E90E3A"/>
    <w:rsid w:val="00E9104C"/>
    <w:rsid w:val="00E933D2"/>
    <w:rsid w:val="00E95017"/>
    <w:rsid w:val="00E95DA2"/>
    <w:rsid w:val="00E9697C"/>
    <w:rsid w:val="00E96BB0"/>
    <w:rsid w:val="00EA07DA"/>
    <w:rsid w:val="00EA7DEA"/>
    <w:rsid w:val="00EB378D"/>
    <w:rsid w:val="00EB7022"/>
    <w:rsid w:val="00EB7FE8"/>
    <w:rsid w:val="00EC0E5A"/>
    <w:rsid w:val="00EC1AF5"/>
    <w:rsid w:val="00EC20DA"/>
    <w:rsid w:val="00EC65B5"/>
    <w:rsid w:val="00ED0407"/>
    <w:rsid w:val="00ED0F07"/>
    <w:rsid w:val="00EE4E9E"/>
    <w:rsid w:val="00EE5ABB"/>
    <w:rsid w:val="00EF215A"/>
    <w:rsid w:val="00EF2CE9"/>
    <w:rsid w:val="00EF4970"/>
    <w:rsid w:val="00EF60A7"/>
    <w:rsid w:val="00EF718A"/>
    <w:rsid w:val="00EF79AF"/>
    <w:rsid w:val="00F007A4"/>
    <w:rsid w:val="00F03438"/>
    <w:rsid w:val="00F07A96"/>
    <w:rsid w:val="00F10359"/>
    <w:rsid w:val="00F11FEC"/>
    <w:rsid w:val="00F2058F"/>
    <w:rsid w:val="00F21481"/>
    <w:rsid w:val="00F35B0A"/>
    <w:rsid w:val="00F4492D"/>
    <w:rsid w:val="00F4624E"/>
    <w:rsid w:val="00F4673D"/>
    <w:rsid w:val="00F51302"/>
    <w:rsid w:val="00F52A0F"/>
    <w:rsid w:val="00F54972"/>
    <w:rsid w:val="00F62DD6"/>
    <w:rsid w:val="00F6595A"/>
    <w:rsid w:val="00F669CF"/>
    <w:rsid w:val="00F67090"/>
    <w:rsid w:val="00F7725F"/>
    <w:rsid w:val="00F81208"/>
    <w:rsid w:val="00F81A13"/>
    <w:rsid w:val="00F85225"/>
    <w:rsid w:val="00F90E11"/>
    <w:rsid w:val="00F9275F"/>
    <w:rsid w:val="00F95DBF"/>
    <w:rsid w:val="00F96CBB"/>
    <w:rsid w:val="00F9738E"/>
    <w:rsid w:val="00FA23BB"/>
    <w:rsid w:val="00FA2AC1"/>
    <w:rsid w:val="00FA79EE"/>
    <w:rsid w:val="00FB00D2"/>
    <w:rsid w:val="00FB3614"/>
    <w:rsid w:val="00FB3947"/>
    <w:rsid w:val="00FB57E6"/>
    <w:rsid w:val="00FC1226"/>
    <w:rsid w:val="00FC259A"/>
    <w:rsid w:val="00FC2771"/>
    <w:rsid w:val="00FC3C15"/>
    <w:rsid w:val="00FC54F5"/>
    <w:rsid w:val="00FC56C3"/>
    <w:rsid w:val="00FC7BCE"/>
    <w:rsid w:val="00FD23E3"/>
    <w:rsid w:val="00FD2DEB"/>
    <w:rsid w:val="00FE16BA"/>
    <w:rsid w:val="00FE4210"/>
    <w:rsid w:val="00FE7842"/>
    <w:rsid w:val="00FF3403"/>
    <w:rsid w:val="00FF575B"/>
    <w:rsid w:val="00FF64D7"/>
    <w:rsid w:val="00FF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F98D17"/>
  <w15:docId w15:val="{9986BB2D-D642-4F9B-8440-C40A873F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4DAB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9169C8"/>
    <w:pPr>
      <w:ind w:left="720"/>
      <w:contextualSpacing/>
    </w:pPr>
  </w:style>
  <w:style w:type="character" w:styleId="Collegamentoipertestuale">
    <w:name w:val="Hyperlink"/>
    <w:uiPriority w:val="99"/>
    <w:rsid w:val="001F0A20"/>
    <w:rPr>
      <w:rFonts w:cs="Times New Roman"/>
      <w:color w:val="0000FF"/>
      <w:u w:val="single"/>
    </w:rPr>
  </w:style>
  <w:style w:type="paragraph" w:customStyle="1" w:styleId="default">
    <w:name w:val="default"/>
    <w:basedOn w:val="Normale"/>
    <w:uiPriority w:val="99"/>
    <w:rsid w:val="00A86444"/>
    <w:pPr>
      <w:spacing w:after="0" w:line="240" w:lineRule="auto"/>
    </w:pPr>
    <w:rPr>
      <w:color w:val="000000"/>
      <w:sz w:val="24"/>
      <w:szCs w:val="24"/>
      <w:lang w:eastAsia="it-IT"/>
    </w:rPr>
  </w:style>
  <w:style w:type="character" w:styleId="Rimandocommento">
    <w:name w:val="annotation reference"/>
    <w:uiPriority w:val="99"/>
    <w:semiHidden/>
    <w:rsid w:val="00650536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65053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locked/>
    <w:rsid w:val="00650536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650536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650536"/>
    <w:rPr>
      <w:rFonts w:cs="Times New Roman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650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650536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99"/>
    <w:rsid w:val="00E52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8766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locked/>
    <w:rsid w:val="0087668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8766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876680"/>
    <w:rPr>
      <w:rFonts w:cs="Times New Roman"/>
    </w:rPr>
  </w:style>
  <w:style w:type="paragraph" w:styleId="Revisione">
    <w:name w:val="Revision"/>
    <w:hidden/>
    <w:uiPriority w:val="99"/>
    <w:semiHidden/>
    <w:rsid w:val="00C05C5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www.epicentro.iss.it/coronavirus/sars-cov-2-survey-rsa" TargetMode="External"/><Relationship Id="rId17" Type="http://schemas.openxmlformats.org/officeDocument/2006/relationships/hyperlink" Target="http://www.salute.gov.it/portale/nuovocoronavirus/homeNuovoCoronavirus.jsp" TargetMode="Externa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15236D6178DF4EA7123416115D46D2" ma:contentTypeVersion="13" ma:contentTypeDescription="Creare un nuovo documento." ma:contentTypeScope="" ma:versionID="5c0cba4665eec0fdfad0492183f777cd">
  <xsd:schema xmlns:xsd="http://www.w3.org/2001/XMLSchema" xmlns:xs="http://www.w3.org/2001/XMLSchema" xmlns:p="http://schemas.microsoft.com/office/2006/metadata/properties" xmlns:ns3="a2947a26-719b-4dc2-9fd8-79d8bd587cdc" xmlns:ns4="ab09fd1c-1682-476d-92a8-5ac4d97c4c3c" targetNamespace="http://schemas.microsoft.com/office/2006/metadata/properties" ma:root="true" ma:fieldsID="ab1e196c15056efbfddd2c9519493dfc" ns3:_="" ns4:_="">
    <xsd:import namespace="a2947a26-719b-4dc2-9fd8-79d8bd587cdc"/>
    <xsd:import namespace="ab09fd1c-1682-476d-92a8-5ac4d97c4c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47a26-719b-4dc2-9fd8-79d8bd587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9fd1c-1682-476d-92a8-5ac4d97c4c3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FB7A3C-5A52-48F5-9067-25E535E7D3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07C18D-546F-4CA9-8B4F-718A08C25E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CC6369-F895-44E0-86BF-605B6BAC3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47a26-719b-4dc2-9fd8-79d8bd587cdc"/>
    <ds:schemaRef ds:uri="ab09fd1c-1682-476d-92a8-5ac4d97c4c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70413F-F9EB-4FF9-AD8B-208BC5D262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6804</Words>
  <Characters>38789</Characters>
  <Application>Microsoft Office Word</Application>
  <DocSecurity>0</DocSecurity>
  <Lines>323</Lines>
  <Paragraphs>91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Istituto Superiore di Sanità</Company>
  <LinksUpToDate>false</LinksUpToDate>
  <CharactersWithSpaces>45502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Donfrancesco Chiara</dc:creator>
  <cp:keywords/>
  <dc:description/>
  <cp:lastModifiedBy>Cecilia</cp:lastModifiedBy>
  <cp:revision>2</cp:revision>
  <cp:lastPrinted>2021-09-27T09:08:00Z</cp:lastPrinted>
  <dcterms:created xsi:type="dcterms:W3CDTF">2022-10-10T08:57:00Z</dcterms:created>
  <dcterms:modified xsi:type="dcterms:W3CDTF">2022-10-10T08:57:00Z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0x010100D815236D6178DF4EA7123416115D46D2</vt:lpwstr>
  </property>
</Properties>
</file>