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90" w:rsidRPr="006B5B90" w:rsidRDefault="006B5B90" w:rsidP="006B5B9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bookmarkStart w:id="0" w:name="163n1"/>
      <w:bookmarkEnd w:id="0"/>
      <w:r w:rsidRPr="006B5B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Resoconto della Commissione parlamentare per le questioni regionali</w:t>
      </w:r>
    </w:p>
    <w:p w:rsidR="006B5B90" w:rsidRPr="006B5B90" w:rsidRDefault="006B5B90" w:rsidP="006B5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B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Martedì 27 marzo 2012</w:t>
      </w:r>
    </w:p>
    <w:p w:rsidR="006B5B90" w:rsidRPr="006B5B90" w:rsidRDefault="006B5B90" w:rsidP="006B5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ALLEGATO 4</w:t>
      </w:r>
    </w:p>
    <w:p w:rsidR="006B5B90" w:rsidRPr="006B5B90" w:rsidRDefault="006B5B90" w:rsidP="006B5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B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Principi fondamentali in materia di governo delle attività cliniche per una maggiore efficienza e funzionalità del Servizio sanitario nazionale (Ulteriore nuovo testo unificato C. 278 e </w:t>
      </w:r>
      <w:proofErr w:type="spellStart"/>
      <w:r w:rsidRPr="006B5B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abb</w:t>
      </w:r>
      <w:proofErr w:type="spellEnd"/>
      <w:r w:rsidRPr="006B5B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./A).</w:t>
      </w:r>
    </w:p>
    <w:p w:rsidR="006B5B90" w:rsidRPr="006B5B90" w:rsidRDefault="006B5B90" w:rsidP="006B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B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PARERE APPROVATO DALLA COMMISSIONE</w:t>
      </w:r>
    </w:p>
    <w:p w:rsidR="006B5B90" w:rsidRPr="006B5B90" w:rsidRDefault="006B5B90" w:rsidP="006B5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B90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parlamentare per le questioni regionali,</w:t>
      </w:r>
      <w:r w:rsidRPr="006B5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esaminato, per i profili di propria competenza, l'ulteriore nuovo testo unificato della proposta di legge C. 278 ed </w:t>
      </w:r>
      <w:proofErr w:type="spellStart"/>
      <w:r w:rsidRPr="006B5B90">
        <w:rPr>
          <w:rFonts w:ascii="Times New Roman" w:eastAsia="Times New Roman" w:hAnsi="Times New Roman" w:cs="Times New Roman"/>
          <w:sz w:val="24"/>
          <w:szCs w:val="24"/>
          <w:lang w:eastAsia="it-IT"/>
        </w:rPr>
        <w:t>abb</w:t>
      </w:r>
      <w:proofErr w:type="spellEnd"/>
      <w:r w:rsidRPr="006B5B90">
        <w:rPr>
          <w:rFonts w:ascii="Times New Roman" w:eastAsia="Times New Roman" w:hAnsi="Times New Roman" w:cs="Times New Roman"/>
          <w:sz w:val="24"/>
          <w:szCs w:val="24"/>
          <w:lang w:eastAsia="it-IT"/>
        </w:rPr>
        <w:t>., in corso di esame presso la XII Commissione della Camera, recante principi fondamentali in materia di governo delle attività cliniche per una maggiore efficienza e funzionalità del Servizio sanitario nazionale;</w:t>
      </w:r>
      <w:r w:rsidRPr="006B5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rilevato che il testo reca norme in materia di «tutela della salute» e di «professioni», oggetto di legislazione concorrente tra Stato e regioni, ai sensi dell'articolo 117, comma 3 della Costituzione;</w:t>
      </w:r>
      <w:r w:rsidRPr="006B5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considerato che il provvedimento in esame appare contraddire le previsioni del Titolo V della Costituzione, in quanto enuncia prescrizioni eccessivamente dettagliate in ordine a profili di programmazione, indirizzo e regolamentazione afferenti a competenze regionali,</w:t>
      </w:r>
      <w:r w:rsidRPr="006B5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esprime</w:t>
      </w:r>
    </w:p>
    <w:p w:rsidR="006B5B90" w:rsidRPr="006B5B90" w:rsidRDefault="006B5B90" w:rsidP="006B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B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PARERE CONTRARIO. </w:t>
      </w:r>
    </w:p>
    <w:p w:rsidR="00D5684D" w:rsidRDefault="00D5684D"/>
    <w:sectPr w:rsidR="00D5684D" w:rsidSect="00D56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5B90"/>
    <w:rsid w:val="006B5B90"/>
    <w:rsid w:val="00D5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84D"/>
  </w:style>
  <w:style w:type="paragraph" w:styleId="Titolo5">
    <w:name w:val="heading 5"/>
    <w:basedOn w:val="Normale"/>
    <w:link w:val="Titolo5Carattere"/>
    <w:uiPriority w:val="9"/>
    <w:qFormat/>
    <w:rsid w:val="006B5B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5B90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5B9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HCOMM</dc:creator>
  <cp:lastModifiedBy>HCOMM</cp:lastModifiedBy>
  <cp:revision>2</cp:revision>
  <dcterms:created xsi:type="dcterms:W3CDTF">2012-04-19T13:32:00Z</dcterms:created>
  <dcterms:modified xsi:type="dcterms:W3CDTF">2012-04-19T13:37:00Z</dcterms:modified>
</cp:coreProperties>
</file>