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F4D41" w14:textId="77777777" w:rsidR="00CB3713" w:rsidRPr="004D5775" w:rsidRDefault="00CB3713" w:rsidP="00CB3713">
      <w:pPr>
        <w:outlineLvl w:val="0"/>
        <w:rPr>
          <w:b/>
          <w:bCs/>
        </w:rPr>
      </w:pPr>
      <w:r>
        <w:rPr>
          <w:b/>
          <w:bCs/>
        </w:rPr>
        <w:t xml:space="preserve">I dati preliminari della ricerca </w:t>
      </w:r>
      <w:r w:rsidRPr="00A35117">
        <w:rPr>
          <w:b/>
          <w:bCs/>
        </w:rPr>
        <w:t xml:space="preserve">“La </w:t>
      </w:r>
      <w:r w:rsidRPr="00A35117">
        <w:rPr>
          <w:b/>
          <w:bCs/>
          <w:i/>
          <w:iCs/>
        </w:rPr>
        <w:t>governance</w:t>
      </w:r>
      <w:r w:rsidRPr="00A35117">
        <w:rPr>
          <w:b/>
          <w:bCs/>
        </w:rPr>
        <w:t xml:space="preserve"> dell’innovazione farmaceutica in Italia”</w:t>
      </w:r>
      <w:r>
        <w:rPr>
          <w:bCs/>
        </w:rPr>
        <w:t xml:space="preserve"> </w:t>
      </w:r>
      <w:r w:rsidRPr="004D5775">
        <w:rPr>
          <w:b/>
          <w:bCs/>
        </w:rPr>
        <w:t xml:space="preserve"> </w:t>
      </w:r>
    </w:p>
    <w:p w14:paraId="6A73637E" w14:textId="77777777" w:rsidR="00CB3713" w:rsidRDefault="00CB3713" w:rsidP="00CB3713">
      <w:pPr>
        <w:rPr>
          <w:bCs/>
        </w:rPr>
      </w:pPr>
    </w:p>
    <w:p w14:paraId="67BCD168" w14:textId="77777777" w:rsidR="00CB3713" w:rsidRDefault="00CB3713" w:rsidP="00CB3713">
      <w:pPr>
        <w:rPr>
          <w:bCs/>
        </w:rPr>
      </w:pPr>
      <w:r>
        <w:rPr>
          <w:bCs/>
        </w:rPr>
        <w:t>La ricerca - condotta</w:t>
      </w:r>
      <w:r w:rsidRPr="00C15BAD">
        <w:rPr>
          <w:bCs/>
        </w:rPr>
        <w:t xml:space="preserve"> dal L</w:t>
      </w:r>
      <w:r>
        <w:rPr>
          <w:bCs/>
        </w:rPr>
        <w:t>aboratorio management e sanità Istituto di Management Scuola Superiore Sant’Anna</w:t>
      </w:r>
      <w:r>
        <w:rPr>
          <w:bCs/>
        </w:rPr>
        <w:t xml:space="preserve"> di Pisa</w:t>
      </w:r>
      <w:bookmarkStart w:id="0" w:name="_GoBack"/>
      <w:bookmarkEnd w:id="0"/>
      <w:r w:rsidRPr="00C15BAD">
        <w:rPr>
          <w:bCs/>
        </w:rPr>
        <w:t xml:space="preserve">, in collaborazione </w:t>
      </w:r>
      <w:r>
        <w:rPr>
          <w:bCs/>
        </w:rPr>
        <w:t>con il Dipartimento di scienze biomediche e n</w:t>
      </w:r>
      <w:r w:rsidRPr="00C15BAD">
        <w:rPr>
          <w:bCs/>
        </w:rPr>
        <w:t>euro</w:t>
      </w:r>
      <w:r>
        <w:rPr>
          <w:bCs/>
        </w:rPr>
        <w:t xml:space="preserve"> motorie </w:t>
      </w:r>
      <w:r w:rsidRPr="00C15BAD">
        <w:rPr>
          <w:bCs/>
        </w:rPr>
        <w:t>Alma Mater Studiorum (Bologna) e il supporto non non condizionate di M</w:t>
      </w:r>
      <w:r>
        <w:rPr>
          <w:bCs/>
        </w:rPr>
        <w:t xml:space="preserve">sd che </w:t>
      </w:r>
      <w:r w:rsidRPr="00C15BAD">
        <w:rPr>
          <w:bCs/>
        </w:rPr>
        <w:t>si concluderà alla fine del 2016</w:t>
      </w:r>
      <w:r>
        <w:rPr>
          <w:bCs/>
        </w:rPr>
        <w:t xml:space="preserve"> - ha </w:t>
      </w:r>
      <w:r w:rsidRPr="00C15BAD">
        <w:rPr>
          <w:bCs/>
        </w:rPr>
        <w:t xml:space="preserve">mappato i diversi modelli di </w:t>
      </w:r>
      <w:r w:rsidRPr="00C15BAD">
        <w:rPr>
          <w:bCs/>
          <w:i/>
          <w:iCs/>
        </w:rPr>
        <w:t>governance</w:t>
      </w:r>
      <w:r w:rsidRPr="00C15BAD">
        <w:rPr>
          <w:bCs/>
        </w:rPr>
        <w:t xml:space="preserve"> dell’innovazione farmaceutica </w:t>
      </w:r>
      <w:r>
        <w:rPr>
          <w:bCs/>
        </w:rPr>
        <w:t xml:space="preserve">in 10 Regioni italiane. </w:t>
      </w:r>
    </w:p>
    <w:p w14:paraId="51BA6D8E" w14:textId="77777777" w:rsidR="00CB3713" w:rsidRDefault="00CB3713" w:rsidP="00CB3713"/>
    <w:p w14:paraId="7809B434" w14:textId="77777777" w:rsidR="00CB3713" w:rsidRDefault="00CB3713" w:rsidP="00CB3713">
      <w:r w:rsidRPr="00B26F91">
        <w:rPr>
          <w:b/>
        </w:rPr>
        <w:t>Tutte le Regioni sotto la lente sono dotate di un Prontuario terapeutico regionale,</w:t>
      </w:r>
      <w:r w:rsidRPr="009C11B8">
        <w:t xml:space="preserve"> </w:t>
      </w:r>
      <w:r w:rsidRPr="009C11B8">
        <w:rPr>
          <w:bCs/>
        </w:rPr>
        <w:t>fuorché due</w:t>
      </w:r>
      <w:r>
        <w:rPr>
          <w:bCs/>
        </w:rPr>
        <w:t xml:space="preserve">: il </w:t>
      </w:r>
      <w:r w:rsidRPr="00C15BAD">
        <w:rPr>
          <w:bCs/>
        </w:rPr>
        <w:t xml:space="preserve">Veneto </w:t>
      </w:r>
      <w:r>
        <w:rPr>
          <w:bCs/>
        </w:rPr>
        <w:t>ha scelto la strada dell’abolizione</w:t>
      </w:r>
      <w:r w:rsidRPr="00C15BAD">
        <w:rPr>
          <w:bCs/>
        </w:rPr>
        <w:t xml:space="preserve">. </w:t>
      </w:r>
      <w:r>
        <w:rPr>
          <w:bCs/>
        </w:rPr>
        <w:t xml:space="preserve">Nelle Regioni dove esiste il prontuario </w:t>
      </w:r>
      <w:r w:rsidRPr="00C15BAD">
        <w:rPr>
          <w:bCs/>
        </w:rPr>
        <w:t>l’</w:t>
      </w:r>
      <w:r>
        <w:rPr>
          <w:bCs/>
        </w:rPr>
        <w:t>a</w:t>
      </w:r>
      <w:r w:rsidRPr="00C15BAD">
        <w:rPr>
          <w:bCs/>
        </w:rPr>
        <w:t>ggiornamento</w:t>
      </w:r>
      <w:r w:rsidRPr="00C15BAD">
        <w:t xml:space="preserve"> avviene regolarmente durante l’anno, da un minimo di ogni 2 a un massimo di 6 mesi</w:t>
      </w:r>
      <w:r>
        <w:t xml:space="preserve"> e le t</w:t>
      </w:r>
      <w:r w:rsidRPr="00C15BAD">
        <w:rPr>
          <w:bCs/>
        </w:rPr>
        <w:t>empistiche</w:t>
      </w:r>
      <w:r>
        <w:t xml:space="preserve"> di inserimento</w:t>
      </w:r>
      <w:r w:rsidRPr="00C15BAD">
        <w:t xml:space="preserve"> variano da un minimo di 60 giorni ad un massimo di 4 mesi.</w:t>
      </w:r>
      <w:r>
        <w:t xml:space="preserve"> </w:t>
      </w:r>
      <w:r w:rsidRPr="00C15BAD">
        <w:t xml:space="preserve">In quasi tutte queste Regioni sono presenti </w:t>
      </w:r>
      <w:r w:rsidRPr="00C15BAD">
        <w:rPr>
          <w:bCs/>
        </w:rPr>
        <w:t>Prontuari Terapeutici Aziendali/Ospedalieri</w:t>
      </w:r>
      <w:r w:rsidRPr="00C15BAD">
        <w:t>. Un farmaco presente in P</w:t>
      </w:r>
      <w:r>
        <w:t>ta/o</w:t>
      </w:r>
      <w:r w:rsidRPr="00C15BAD">
        <w:t xml:space="preserve"> non può non appartenere al P</w:t>
      </w:r>
      <w:r>
        <w:t>tr</w:t>
      </w:r>
      <w:r w:rsidRPr="00C15BAD">
        <w:t>.</w:t>
      </w:r>
      <w:r>
        <w:t xml:space="preserve"> </w:t>
      </w:r>
    </w:p>
    <w:p w14:paraId="27532401" w14:textId="77777777" w:rsidR="00CB3713" w:rsidRPr="00C15BAD" w:rsidRDefault="00CB3713" w:rsidP="00CB3713">
      <w:r w:rsidRPr="00C15BAD">
        <w:t>In tutte le Regioni è presente un</w:t>
      </w:r>
      <w:r>
        <w:t>a Commissione terapeutica r</w:t>
      </w:r>
      <w:r w:rsidRPr="00C15BAD">
        <w:t xml:space="preserve">egionale, che si riunisce in media una volta ogni tre mesi (da mensilmente a ogni 6 mesi). In due casi, </w:t>
      </w:r>
      <w:r>
        <w:t>ci</w:t>
      </w:r>
      <w:r w:rsidRPr="00C15BAD">
        <w:t xml:space="preserve"> si avvale di una Commissione H</w:t>
      </w:r>
      <w:r>
        <w:t>ta e n</w:t>
      </w:r>
      <w:r w:rsidRPr="00C15BAD">
        <w:t>elle altre Regioni troviamo l</w:t>
      </w:r>
      <w:r>
        <w:t>a presenza di uno o più Gruppi m</w:t>
      </w:r>
      <w:r w:rsidRPr="00C15BAD">
        <w:t>ultidisciplinari.</w:t>
      </w:r>
      <w:r>
        <w:t xml:space="preserve"> </w:t>
      </w:r>
      <w:r w:rsidRPr="00C15BAD">
        <w:t>La formazione di questi gruppi è variabile. Sono di solito presenti specialisti, oncologi, direzioni sanitarie, M</w:t>
      </w:r>
      <w:r>
        <w:t>mg</w:t>
      </w:r>
      <w:r w:rsidRPr="00C15BAD">
        <w:t xml:space="preserve">, farmacisti, infermieri e farmacologi. </w:t>
      </w:r>
      <w:r>
        <w:t>Solo</w:t>
      </w:r>
      <w:r w:rsidRPr="00C15BAD">
        <w:t xml:space="preserve"> </w:t>
      </w:r>
      <w:r>
        <w:rPr>
          <w:bCs/>
        </w:rPr>
        <w:t xml:space="preserve">Veneto e Umbria </w:t>
      </w:r>
      <w:r>
        <w:t>nella</w:t>
      </w:r>
      <w:r w:rsidRPr="00C15BAD">
        <w:t xml:space="preserve"> realizzazione del Pdta</w:t>
      </w:r>
      <w:r>
        <w:rPr>
          <w:bCs/>
        </w:rPr>
        <w:t xml:space="preserve"> </w:t>
      </w:r>
      <w:r w:rsidRPr="00C15BAD">
        <w:t xml:space="preserve">è prevista la presenza anche di rappresentanti dei pazienti oppure di organizzazioni di volontariato. </w:t>
      </w:r>
    </w:p>
    <w:p w14:paraId="3B99109B" w14:textId="77777777" w:rsidR="00CB3713" w:rsidRDefault="00CB3713" w:rsidP="00CB3713">
      <w:pPr>
        <w:rPr>
          <w:b/>
        </w:rPr>
      </w:pPr>
    </w:p>
    <w:p w14:paraId="7A1EE6C4" w14:textId="77777777" w:rsidR="00CB3713" w:rsidRPr="00C15BAD" w:rsidRDefault="00CB3713" w:rsidP="00CB3713">
      <w:r>
        <w:rPr>
          <w:b/>
        </w:rPr>
        <w:t>I C</w:t>
      </w:r>
      <w:r w:rsidRPr="008F40C8">
        <w:rPr>
          <w:b/>
        </w:rPr>
        <w:t>entri prescrittori per i farmaci monitorati da registro Aifa</w:t>
      </w:r>
      <w:r w:rsidRPr="00C15BAD">
        <w:t xml:space="preserve"> vengono </w:t>
      </w:r>
      <w:r w:rsidRPr="00C15BAD">
        <w:rPr>
          <w:bCs/>
        </w:rPr>
        <w:t>identificati</w:t>
      </w:r>
      <w:r w:rsidRPr="00C15BAD">
        <w:t xml:space="preserve"> attraverso percorsi differenti.</w:t>
      </w:r>
      <w:r>
        <w:t xml:space="preserve"> Sono solitamente le Direzioni sanitarie ospedaliere, il servizio f</w:t>
      </w:r>
      <w:r w:rsidRPr="00C15BAD">
        <w:t>armaceutico o le C</w:t>
      </w:r>
      <w:r>
        <w:t>tr</w:t>
      </w:r>
      <w:r w:rsidRPr="00C15BAD">
        <w:t xml:space="preserve"> a proporre i centri, che vengono poi autorizzati dalle Regioni. I </w:t>
      </w:r>
      <w:r w:rsidRPr="00C15BAD">
        <w:rPr>
          <w:bCs/>
        </w:rPr>
        <w:t xml:space="preserve">criteri di identificazione </w:t>
      </w:r>
      <w:r>
        <w:t>dei C</w:t>
      </w:r>
      <w:r w:rsidRPr="00C15BAD">
        <w:t>entri sono vari, ma i volumi di pazienti presi in carico e la specializzazione sono i principali.</w:t>
      </w:r>
      <w:r>
        <w:t xml:space="preserve"> Altri la dotazione tecnologica.</w:t>
      </w:r>
      <w:r w:rsidRPr="00EA6CC3">
        <w:t xml:space="preserve"> </w:t>
      </w:r>
      <w:r>
        <w:t>Il V</w:t>
      </w:r>
      <w:r w:rsidRPr="00C15BAD">
        <w:t>eneto</w:t>
      </w:r>
      <w:r>
        <w:t>,</w:t>
      </w:r>
      <w:r w:rsidRPr="00C15BAD">
        <w:t xml:space="preserve"> </w:t>
      </w:r>
      <w:r>
        <w:t>ad esempio, ha scelto i C</w:t>
      </w:r>
      <w:r w:rsidRPr="00C15BAD">
        <w:t>entri in base al</w:t>
      </w:r>
      <w:r>
        <w:t>la capacità di effettuare</w:t>
      </w:r>
      <w:r w:rsidRPr="00C15BAD">
        <w:t xml:space="preserve"> </w:t>
      </w:r>
      <w:r>
        <w:t>“</w:t>
      </w:r>
      <w:r w:rsidRPr="00C15BAD">
        <w:t>vial</w:t>
      </w:r>
      <w:r>
        <w:t xml:space="preserve"> s</w:t>
      </w:r>
      <w:r w:rsidRPr="00C15BAD">
        <w:t>haring</w:t>
      </w:r>
      <w:r>
        <w:t>”.</w:t>
      </w:r>
    </w:p>
    <w:p w14:paraId="0E87F2F4" w14:textId="77777777" w:rsidR="00CB3713" w:rsidRDefault="00CB3713" w:rsidP="00CB3713">
      <w:pPr>
        <w:rPr>
          <w:b/>
        </w:rPr>
      </w:pPr>
    </w:p>
    <w:p w14:paraId="108036F6" w14:textId="77777777" w:rsidR="00CB3713" w:rsidRPr="00C15BAD" w:rsidRDefault="00CB3713" w:rsidP="00CB3713">
      <w:r>
        <w:rPr>
          <w:b/>
        </w:rPr>
        <w:t>Il numero di C</w:t>
      </w:r>
      <w:r w:rsidRPr="004D5775">
        <w:rPr>
          <w:b/>
        </w:rPr>
        <w:t>entri prescrittori in ogni Regione o Provincia è variabile.</w:t>
      </w:r>
      <w:r w:rsidRPr="00C15BAD">
        <w:t xml:space="preserve"> La necessità di non limitare i farmaci a pochi centri (e quindi costringere i pazienti a lunghi spostamenti) e il vantaggio economico di centralizzare le preparazioni, ha portato a diverse soluzioni pratiche:</w:t>
      </w:r>
      <w:r>
        <w:t xml:space="preserve"> </w:t>
      </w:r>
      <w:r w:rsidRPr="00C15BAD">
        <w:t xml:space="preserve">in alcune Regioni la prescrizione è limitata </w:t>
      </w:r>
      <w:r>
        <w:t xml:space="preserve">solo </w:t>
      </w:r>
      <w:r w:rsidRPr="00C15BAD">
        <w:t>a pochi centri;</w:t>
      </w:r>
      <w:r>
        <w:t xml:space="preserve"> </w:t>
      </w:r>
      <w:r w:rsidRPr="00C15BAD">
        <w:t>in altri contesti la selezione di centri è mantenuta solo per le preparazioni più complicate</w:t>
      </w:r>
      <w:r>
        <w:t>, come ad esempio le infusioni</w:t>
      </w:r>
      <w:r w:rsidRPr="00C15BAD">
        <w:t>;</w:t>
      </w:r>
      <w:r>
        <w:t xml:space="preserve"> </w:t>
      </w:r>
      <w:r w:rsidRPr="00C15BAD">
        <w:t>in alcune non vi è una abilitazione selettiva dei centri prescrittori.</w:t>
      </w:r>
      <w:r>
        <w:t xml:space="preserve"> </w:t>
      </w:r>
    </w:p>
    <w:p w14:paraId="21C93750" w14:textId="77777777" w:rsidR="00CB3713" w:rsidRDefault="00CB3713" w:rsidP="00CB3713">
      <w:pPr>
        <w:rPr>
          <w:b/>
        </w:rPr>
      </w:pPr>
    </w:p>
    <w:p w14:paraId="3F5BB787" w14:textId="77777777" w:rsidR="00CB3713" w:rsidRDefault="00CB3713" w:rsidP="00CB3713">
      <w:r w:rsidRPr="004D5775">
        <w:rPr>
          <w:b/>
        </w:rPr>
        <w:t>Metà delle Regioni sotto la lente ha affermato di essere supportata dalle reti oncologiche,</w:t>
      </w:r>
      <w:r>
        <w:t xml:space="preserve"> l’altra metà di essere eventualmente affiancata nelle scelte da una rete professionale senza un mandato preciso o ad una rete auto organizzata. </w:t>
      </w:r>
      <w:r w:rsidRPr="00C15BAD">
        <w:t xml:space="preserve">Il </w:t>
      </w:r>
      <w:r>
        <w:t xml:space="preserve">loro </w:t>
      </w:r>
      <w:r w:rsidRPr="00C15BAD">
        <w:rPr>
          <w:bCs/>
        </w:rPr>
        <w:t xml:space="preserve">ruolo </w:t>
      </w:r>
      <w:r>
        <w:rPr>
          <w:bCs/>
        </w:rPr>
        <w:t xml:space="preserve">delle reti varia da Regione a </w:t>
      </w:r>
      <w:r w:rsidRPr="00C15BAD">
        <w:t>Regioni</w:t>
      </w:r>
      <w:r>
        <w:t>, c’è la rete che individua C</w:t>
      </w:r>
      <w:r w:rsidRPr="00C15BAD">
        <w:t>entri prescrittori</w:t>
      </w:r>
      <w:r>
        <w:t xml:space="preserve"> e quella che razionalizza l</w:t>
      </w:r>
      <w:r w:rsidRPr="00C15BAD">
        <w:t>’uso dei farmaci alto costo</w:t>
      </w:r>
      <w:r>
        <w:t xml:space="preserve">, quella che </w:t>
      </w:r>
      <w:r w:rsidRPr="00C15BAD">
        <w:t>esprimere raccomandazioni sui farmaci oncologici</w:t>
      </w:r>
      <w:r>
        <w:t xml:space="preserve"> e identifica i centri Hub</w:t>
      </w:r>
      <w:r w:rsidRPr="00C15BAD">
        <w:t xml:space="preserve"> e S</w:t>
      </w:r>
      <w:r>
        <w:t>poke.</w:t>
      </w:r>
    </w:p>
    <w:p w14:paraId="3C9C8A1D" w14:textId="77777777" w:rsidR="00CB3713" w:rsidRDefault="00CB3713" w:rsidP="00CB3713">
      <w:r w:rsidRPr="00C15BAD">
        <w:t xml:space="preserve">Tutte le Regioni e Province monitorano il </w:t>
      </w:r>
      <w:r w:rsidRPr="00C15BAD">
        <w:rPr>
          <w:bCs/>
        </w:rPr>
        <w:t xml:space="preserve">budget di spesa generica </w:t>
      </w:r>
      <w:r w:rsidRPr="00C15BAD">
        <w:t>sulla farmaceutica e la maggior parte prevede obiettivi complessivi di spesa, definiti una volta l’anno. Nessuna prevede un budget specifico per i farmaci oncologici.</w:t>
      </w:r>
    </w:p>
    <w:p w14:paraId="5C6B4CBB" w14:textId="77777777" w:rsidR="00CB3713" w:rsidRPr="00C15BAD" w:rsidRDefault="00CB3713" w:rsidP="00CB3713"/>
    <w:p w14:paraId="1B6B85BE" w14:textId="77777777" w:rsidR="00CB3713" w:rsidRPr="00C15BAD" w:rsidRDefault="00CB3713" w:rsidP="00CB3713">
      <w:r w:rsidRPr="00684430">
        <w:rPr>
          <w:b/>
        </w:rPr>
        <w:t>Tutte le Regioni e Province monitorano il budget di spesa generica</w:t>
      </w:r>
      <w:r w:rsidRPr="00684430">
        <w:t xml:space="preserve"> sulla farmaceutica e la maggior parte prevede obiettivi complessivi di spesa, definiti una v</w:t>
      </w:r>
      <w:r>
        <w:t xml:space="preserve">olta l’anno. Nessuna realtà locale </w:t>
      </w:r>
      <w:r w:rsidRPr="00684430">
        <w:t>prevede un budget specifico per i farmaci oncologici.</w:t>
      </w:r>
      <w:r>
        <w:t xml:space="preserve"> </w:t>
      </w:r>
      <w:r w:rsidRPr="00C15BAD">
        <w:t xml:space="preserve">Le tempistiche di autorizzazione all’acquisto dei </w:t>
      </w:r>
      <w:r w:rsidRPr="00C15BAD">
        <w:rPr>
          <w:bCs/>
        </w:rPr>
        <w:t>farmaci non innovativi</w:t>
      </w:r>
      <w:r w:rsidRPr="00C15BAD">
        <w:t xml:space="preserve">, ottenuta la rimborsabilità, vanno </w:t>
      </w:r>
      <w:r w:rsidRPr="00C15BAD">
        <w:rPr>
          <w:bCs/>
        </w:rPr>
        <w:t>dagli 1 ai 6 mesi dalla richiesta</w:t>
      </w:r>
      <w:r w:rsidRPr="00C15BAD">
        <w:t>; le latenze dipendono dalla cadenza delle riunioni delle Commissioni Terapeutiche Regionali (inserimento del farmaco nel prontuario) e, dove previsto, dall’individuazione tramite delibera dei centri prescrittori.</w:t>
      </w:r>
    </w:p>
    <w:p w14:paraId="06F67B68" w14:textId="77777777" w:rsidR="00CB3713" w:rsidRDefault="00CB3713" w:rsidP="00CB3713">
      <w:pPr>
        <w:rPr>
          <w:b/>
        </w:rPr>
      </w:pPr>
    </w:p>
    <w:p w14:paraId="38E8ECCB" w14:textId="77777777" w:rsidR="00CB3713" w:rsidRPr="00C15BAD" w:rsidRDefault="00CB3713" w:rsidP="00CB3713">
      <w:r w:rsidRPr="009C11B8">
        <w:rPr>
          <w:b/>
        </w:rPr>
        <w:t>Per quanto riguarda i sistemi informativi</w:t>
      </w:r>
      <w:r>
        <w:t xml:space="preserve"> alla base dei sistemi di controllo per valutazione, costi, rischi e performance e </w:t>
      </w:r>
      <w:r w:rsidRPr="00C15BAD">
        <w:t xml:space="preserve">senza </w:t>
      </w:r>
      <w:r>
        <w:t>i quali non esiste un governance, la differenza è elevata e ancora molto fumosa.</w:t>
      </w:r>
      <w:r w:rsidRPr="00C15BAD">
        <w:t xml:space="preserve"> </w:t>
      </w:r>
      <w:r>
        <w:t xml:space="preserve">La </w:t>
      </w:r>
      <w:r w:rsidRPr="00C15BAD">
        <w:t>Puglia ha investito a livello informatico</w:t>
      </w:r>
      <w:r>
        <w:t xml:space="preserve"> e ha un programma unico di prescrizione</w:t>
      </w:r>
      <w:r w:rsidRPr="00C15BAD">
        <w:t xml:space="preserve">, </w:t>
      </w:r>
      <w:r>
        <w:t>l’U</w:t>
      </w:r>
      <w:r w:rsidRPr="00C15BAD">
        <w:t xml:space="preserve">mbria </w:t>
      </w:r>
      <w:r>
        <w:t xml:space="preserve">ha </w:t>
      </w:r>
      <w:r w:rsidRPr="00C15BAD">
        <w:t>unico soft</w:t>
      </w:r>
      <w:r>
        <w:t>ware per gli antiblastici, il</w:t>
      </w:r>
      <w:r w:rsidRPr="00C15BAD">
        <w:t xml:space="preserve"> Fvg </w:t>
      </w:r>
      <w:r>
        <w:t>un’</w:t>
      </w:r>
      <w:r w:rsidRPr="00C15BAD">
        <w:t>unica cartella clinica in</w:t>
      </w:r>
      <w:r>
        <w:t xml:space="preserve"> fase di integrazione con softwa</w:t>
      </w:r>
      <w:r w:rsidRPr="00C15BAD">
        <w:t xml:space="preserve">re, </w:t>
      </w:r>
      <w:r>
        <w:t>solo per citarne alcune.</w:t>
      </w:r>
      <w:r w:rsidRPr="003C0721">
        <w:t xml:space="preserve"> </w:t>
      </w:r>
      <w:r>
        <w:t>Le R</w:t>
      </w:r>
      <w:r w:rsidRPr="00C15BAD">
        <w:t>egioni non hanno un ritorno delle informazioni</w:t>
      </w:r>
      <w:r>
        <w:t xml:space="preserve"> dall’Aifa.</w:t>
      </w:r>
    </w:p>
    <w:p w14:paraId="5AD1016F" w14:textId="77777777" w:rsidR="00D9092C" w:rsidRDefault="00CB3713"/>
    <w:sectPr w:rsidR="00D9092C" w:rsidSect="001653F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13"/>
    <w:rsid w:val="001653FD"/>
    <w:rsid w:val="00265734"/>
    <w:rsid w:val="00CB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4935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Normale Mes"/>
    <w:qFormat/>
    <w:rsid w:val="00CB3713"/>
    <w:rPr>
      <w:rFonts w:ascii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3842</Characters>
  <Application>Microsoft Macintosh Word</Application>
  <DocSecurity>0</DocSecurity>
  <Lines>32</Lines>
  <Paragraphs>9</Paragraphs>
  <ScaleCrop>false</ScaleCrop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marago</dc:creator>
  <cp:keywords/>
  <dc:description/>
  <cp:lastModifiedBy>ester marago</cp:lastModifiedBy>
  <cp:revision>1</cp:revision>
  <dcterms:created xsi:type="dcterms:W3CDTF">2016-06-07T16:13:00Z</dcterms:created>
  <dcterms:modified xsi:type="dcterms:W3CDTF">2016-06-07T16:13:00Z</dcterms:modified>
</cp:coreProperties>
</file>