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01" w:rsidRPr="00F46D51" w:rsidRDefault="006C4501" w:rsidP="009C4F7F">
      <w:pPr>
        <w:spacing w:after="120"/>
        <w:jc w:val="center"/>
        <w:rPr>
          <w:rFonts w:ascii="Calibri" w:hAnsi="Calibri" w:cs="Calibri"/>
          <w:b/>
          <w:bCs/>
          <w:smallCaps/>
          <w:color w:val="000000"/>
          <w:sz w:val="32"/>
          <w:szCs w:val="32"/>
          <w:lang w:val="it-IT"/>
        </w:rPr>
      </w:pPr>
      <w:r w:rsidRPr="00F46D51">
        <w:rPr>
          <w:rFonts w:ascii="Calibri" w:hAnsi="Calibri" w:cs="Calibri"/>
          <w:b/>
          <w:bCs/>
          <w:smallCaps/>
          <w:color w:val="000000"/>
          <w:sz w:val="32"/>
          <w:szCs w:val="32"/>
          <w:lang w:val="it-IT"/>
        </w:rPr>
        <w:t xml:space="preserve">Appropriatezza Terapeutica degli Inibitori di Pompa Protonica </w:t>
      </w:r>
    </w:p>
    <w:p w:rsidR="006C4501" w:rsidRPr="00F46D51" w:rsidRDefault="006C4501" w:rsidP="009C4F7F">
      <w:pPr>
        <w:spacing w:after="120"/>
        <w:jc w:val="center"/>
        <w:rPr>
          <w:rFonts w:ascii="Calibri" w:hAnsi="Calibri" w:cs="Calibri"/>
          <w:b/>
          <w:bCs/>
          <w:smallCaps/>
          <w:color w:val="000000"/>
          <w:sz w:val="32"/>
          <w:szCs w:val="32"/>
          <w:lang w:val="it-IT"/>
        </w:rPr>
      </w:pPr>
      <w:r w:rsidRPr="00F46D51">
        <w:rPr>
          <w:rFonts w:ascii="Calibri" w:hAnsi="Calibri" w:cs="Calibri"/>
          <w:b/>
          <w:bCs/>
          <w:smallCaps/>
          <w:color w:val="000000"/>
          <w:sz w:val="32"/>
          <w:szCs w:val="32"/>
          <w:lang w:val="it-IT"/>
        </w:rPr>
        <w:t>Sinopsi d’Uso per la Pratica Clinica</w:t>
      </w:r>
    </w:p>
    <w:p w:rsidR="006C4501" w:rsidRPr="00C10783" w:rsidRDefault="006C4501" w:rsidP="009C4F7F">
      <w:pPr>
        <w:spacing w:after="120"/>
        <w:jc w:val="center"/>
        <w:rPr>
          <w:rFonts w:ascii="Calibri" w:hAnsi="Calibri" w:cs="Calibri"/>
          <w:smallCaps/>
          <w:color w:val="000000"/>
          <w:sz w:val="32"/>
          <w:szCs w:val="32"/>
          <w:lang w:val="it-IT"/>
        </w:rPr>
      </w:pPr>
    </w:p>
    <w:p w:rsidR="006C4501" w:rsidRPr="00C10783" w:rsidRDefault="006C4501" w:rsidP="009C4F7F">
      <w:pPr>
        <w:spacing w:after="120"/>
        <w:jc w:val="center"/>
        <w:rPr>
          <w:rFonts w:ascii="Calibri" w:hAnsi="Calibri" w:cs="Calibri"/>
          <w:smallCaps/>
          <w:color w:val="000000"/>
          <w:sz w:val="32"/>
          <w:szCs w:val="32"/>
          <w:lang w:val="it-IT"/>
        </w:rPr>
      </w:pPr>
    </w:p>
    <w:p w:rsidR="006C4501" w:rsidRPr="00C10783" w:rsidRDefault="006C4501" w:rsidP="00E729C7">
      <w:pPr>
        <w:spacing w:after="120"/>
        <w:jc w:val="center"/>
        <w:rPr>
          <w:rFonts w:ascii="Calibri" w:hAnsi="Calibri" w:cs="Calibri"/>
          <w:smallCaps/>
          <w:color w:val="000000"/>
          <w:sz w:val="32"/>
          <w:szCs w:val="32"/>
          <w:lang w:val="it-IT"/>
        </w:rPr>
      </w:pPr>
      <w:r w:rsidRPr="00C10783">
        <w:rPr>
          <w:rFonts w:ascii="Calibri" w:hAnsi="Calibri" w:cs="Calibri"/>
          <w:smallCaps/>
          <w:color w:val="000000"/>
          <w:sz w:val="32"/>
          <w:szCs w:val="32"/>
          <w:lang w:val="it-IT"/>
        </w:rPr>
        <w:t>a cura di</w:t>
      </w:r>
    </w:p>
    <w:p w:rsidR="006C4501" w:rsidRPr="00C10783" w:rsidRDefault="006C4501" w:rsidP="00717597">
      <w:pPr>
        <w:spacing w:after="120"/>
        <w:jc w:val="center"/>
        <w:rPr>
          <w:rFonts w:ascii="Calibri" w:hAnsi="Calibri" w:cs="Calibri"/>
          <w:color w:val="000000"/>
          <w:lang w:val="it-IT"/>
        </w:rPr>
      </w:pPr>
      <w:r w:rsidRPr="00C10783">
        <w:rPr>
          <w:rFonts w:ascii="Calibri" w:hAnsi="Calibri" w:cs="Calibri"/>
          <w:color w:val="000000"/>
          <w:lang w:val="it-IT"/>
        </w:rPr>
        <w:t xml:space="preserve">Carmelo </w:t>
      </w:r>
      <w:proofErr w:type="spellStart"/>
      <w:r w:rsidRPr="00C10783">
        <w:rPr>
          <w:rFonts w:ascii="Calibri" w:hAnsi="Calibri" w:cs="Calibri"/>
          <w:color w:val="000000"/>
          <w:lang w:val="it-IT"/>
        </w:rPr>
        <w:t>Scarpignato</w:t>
      </w:r>
      <w:proofErr w:type="spellEnd"/>
      <w:r w:rsidRPr="00C10783">
        <w:rPr>
          <w:rFonts w:ascii="Calibri" w:hAnsi="Calibri" w:cs="Calibri"/>
          <w:color w:val="000000"/>
          <w:lang w:val="it-IT"/>
        </w:rPr>
        <w:t xml:space="preserve">, Angelo </w:t>
      </w:r>
      <w:proofErr w:type="spellStart"/>
      <w:r w:rsidRPr="00C10783">
        <w:rPr>
          <w:rFonts w:ascii="Calibri" w:hAnsi="Calibri" w:cs="Calibri"/>
          <w:color w:val="000000"/>
          <w:lang w:val="it-IT"/>
        </w:rPr>
        <w:t>Zullo</w:t>
      </w:r>
      <w:proofErr w:type="spellEnd"/>
      <w:r w:rsidRPr="00C10783">
        <w:rPr>
          <w:rFonts w:ascii="Calibri" w:hAnsi="Calibri" w:cs="Calibri"/>
          <w:color w:val="000000"/>
          <w:lang w:val="it-IT"/>
        </w:rPr>
        <w:t xml:space="preserve">, Luigi Gatta, </w:t>
      </w:r>
      <w:r w:rsidRPr="004742ED">
        <w:rPr>
          <w:rFonts w:ascii="Calibri" w:hAnsi="Calibri" w:cs="Calibri"/>
          <w:color w:val="000000"/>
          <w:lang w:val="it-IT"/>
        </w:rPr>
        <w:t xml:space="preserve">Anna </w:t>
      </w:r>
      <w:proofErr w:type="spellStart"/>
      <w:r w:rsidRPr="004742ED">
        <w:rPr>
          <w:rFonts w:ascii="Calibri" w:hAnsi="Calibri" w:cs="Calibri"/>
          <w:color w:val="000000"/>
          <w:lang w:val="it-IT"/>
        </w:rPr>
        <w:t>Kohn</w:t>
      </w:r>
      <w:proofErr w:type="spellEnd"/>
      <w:r w:rsidRPr="004742ED">
        <w:rPr>
          <w:rFonts w:ascii="Calibri" w:hAnsi="Calibri" w:cs="Calibri"/>
          <w:color w:val="000000"/>
          <w:lang w:val="it-IT"/>
        </w:rPr>
        <w:t>, Alberto</w:t>
      </w:r>
      <w:r w:rsidRPr="00C10783">
        <w:rPr>
          <w:rFonts w:ascii="Calibri" w:hAnsi="Calibri" w:cs="Calibri"/>
          <w:color w:val="000000"/>
          <w:lang w:val="it-IT"/>
        </w:rPr>
        <w:t xml:space="preserve"> </w:t>
      </w:r>
      <w:proofErr w:type="spellStart"/>
      <w:r w:rsidRPr="00C10783">
        <w:rPr>
          <w:rFonts w:ascii="Calibri" w:hAnsi="Calibri" w:cs="Calibri"/>
          <w:color w:val="000000"/>
          <w:lang w:val="it-IT"/>
        </w:rPr>
        <w:t>Chiriatti</w:t>
      </w:r>
      <w:proofErr w:type="spellEnd"/>
      <w:r w:rsidRPr="00C10783">
        <w:rPr>
          <w:rFonts w:ascii="Calibri" w:hAnsi="Calibri" w:cs="Calibri"/>
          <w:color w:val="000000"/>
          <w:lang w:val="it-IT"/>
        </w:rPr>
        <w:t xml:space="preserve">, Corrado </w:t>
      </w:r>
      <w:proofErr w:type="spellStart"/>
      <w:r w:rsidRPr="00C10783">
        <w:rPr>
          <w:rFonts w:ascii="Calibri" w:hAnsi="Calibri" w:cs="Calibri"/>
          <w:color w:val="000000"/>
          <w:lang w:val="it-IT"/>
        </w:rPr>
        <w:t>Blandizzi</w:t>
      </w:r>
      <w:proofErr w:type="spellEnd"/>
      <w:r w:rsidRPr="00C10783">
        <w:rPr>
          <w:rFonts w:ascii="Calibri" w:hAnsi="Calibri" w:cs="Calibri"/>
          <w:color w:val="000000"/>
          <w:lang w:val="it-IT"/>
        </w:rPr>
        <w:t xml:space="preserve">, Walter </w:t>
      </w:r>
      <w:proofErr w:type="spellStart"/>
      <w:r w:rsidRPr="00C10783">
        <w:rPr>
          <w:rFonts w:ascii="Calibri" w:hAnsi="Calibri" w:cs="Calibri"/>
          <w:color w:val="000000"/>
          <w:lang w:val="it-IT"/>
        </w:rPr>
        <w:t>Marrocco</w:t>
      </w:r>
      <w:proofErr w:type="spellEnd"/>
      <w:r w:rsidRPr="00C10783">
        <w:rPr>
          <w:rFonts w:ascii="Calibri" w:hAnsi="Calibri" w:cs="Calibri"/>
          <w:color w:val="000000"/>
          <w:lang w:val="it-IT"/>
        </w:rPr>
        <w:t>, Gioacchino Leandro</w:t>
      </w:r>
      <w:r>
        <w:rPr>
          <w:rFonts w:ascii="Calibri" w:hAnsi="Calibri" w:cs="Calibri"/>
          <w:color w:val="000000"/>
          <w:lang w:val="it-IT"/>
        </w:rPr>
        <w:t>,</w:t>
      </w:r>
      <w:r w:rsidRPr="00C10783">
        <w:rPr>
          <w:rFonts w:ascii="Calibri" w:hAnsi="Calibri" w:cs="Calibri"/>
          <w:color w:val="000000"/>
          <w:lang w:val="it-IT"/>
        </w:rPr>
        <w:t xml:space="preserve"> Antonio Balzano</w:t>
      </w:r>
    </w:p>
    <w:p w:rsidR="006C4501" w:rsidRDefault="006C4501" w:rsidP="009C4F7F">
      <w:pPr>
        <w:spacing w:after="120"/>
        <w:jc w:val="center"/>
        <w:rPr>
          <w:rFonts w:ascii="Calibri" w:hAnsi="Calibri" w:cs="Calibri"/>
          <w:smallCaps/>
          <w:color w:val="000000"/>
          <w:sz w:val="40"/>
          <w:szCs w:val="40"/>
          <w:lang w:val="it-IT"/>
        </w:rPr>
      </w:pPr>
    </w:p>
    <w:p w:rsidR="006C4501" w:rsidRPr="009123A1" w:rsidRDefault="006C4501" w:rsidP="00E872C2">
      <w:pPr>
        <w:spacing w:after="120"/>
        <w:jc w:val="center"/>
        <w:rPr>
          <w:rFonts w:ascii="Calibri" w:hAnsi="Calibri" w:cs="Calibri"/>
          <w:smallCaps/>
          <w:sz w:val="32"/>
          <w:szCs w:val="32"/>
          <w:lang w:val="it-IT"/>
        </w:rPr>
      </w:pPr>
      <w:r w:rsidRPr="009123A1">
        <w:rPr>
          <w:rFonts w:ascii="Calibri" w:hAnsi="Calibri" w:cs="Calibri"/>
          <w:smallCaps/>
          <w:sz w:val="32"/>
          <w:szCs w:val="32"/>
          <w:lang w:val="it-IT"/>
        </w:rPr>
        <w:t>Associazione Italiana Gastroenterologi Ospedalieri (AIGO)</w:t>
      </w:r>
    </w:p>
    <w:p w:rsidR="006C4501" w:rsidRPr="009123A1" w:rsidRDefault="006C4501" w:rsidP="00E872C2">
      <w:pPr>
        <w:spacing w:after="120"/>
        <w:jc w:val="center"/>
        <w:rPr>
          <w:rFonts w:ascii="Calibri" w:hAnsi="Calibri" w:cs="Calibri"/>
          <w:smallCaps/>
          <w:sz w:val="32"/>
          <w:szCs w:val="32"/>
          <w:lang w:val="it-IT"/>
        </w:rPr>
      </w:pPr>
      <w:r w:rsidRPr="009123A1">
        <w:rPr>
          <w:rFonts w:ascii="Calibri" w:hAnsi="Calibri" w:cs="Calibri"/>
          <w:smallCaps/>
          <w:sz w:val="32"/>
          <w:szCs w:val="32"/>
          <w:lang w:val="it-IT"/>
        </w:rPr>
        <w:t xml:space="preserve">Società Italiana di Farmacologia (SIF) </w:t>
      </w:r>
    </w:p>
    <w:p w:rsidR="006C4501" w:rsidRDefault="006C4501" w:rsidP="00E872C2">
      <w:pPr>
        <w:spacing w:after="120"/>
        <w:jc w:val="center"/>
        <w:rPr>
          <w:rFonts w:ascii="Calibri" w:hAnsi="Calibri" w:cs="Calibri"/>
          <w:smallCaps/>
          <w:sz w:val="32"/>
          <w:szCs w:val="32"/>
          <w:lang w:val="it-IT"/>
        </w:rPr>
      </w:pPr>
      <w:r w:rsidRPr="009123A1">
        <w:rPr>
          <w:rFonts w:ascii="Calibri" w:hAnsi="Calibri" w:cs="Calibri"/>
          <w:smallCaps/>
          <w:sz w:val="32"/>
          <w:szCs w:val="32"/>
          <w:lang w:val="it-IT"/>
        </w:rPr>
        <w:t>Federazione Italiana dei Medici di Medicina Generale (FIMMG)</w:t>
      </w:r>
    </w:p>
    <w:p w:rsidR="006C4501" w:rsidRDefault="006C4501">
      <w:pPr>
        <w:rPr>
          <w:rFonts w:ascii="Calibri" w:hAnsi="Calibri" w:cs="Calibri"/>
          <w:smallCaps/>
          <w:sz w:val="32"/>
          <w:szCs w:val="32"/>
          <w:lang w:val="it-IT"/>
        </w:rPr>
      </w:pPr>
      <w:r>
        <w:rPr>
          <w:rFonts w:ascii="Calibri" w:hAnsi="Calibri" w:cs="Calibri"/>
          <w:smallCaps/>
          <w:sz w:val="32"/>
          <w:szCs w:val="32"/>
          <w:lang w:val="it-IT"/>
        </w:rPr>
        <w:br w:type="page"/>
      </w:r>
    </w:p>
    <w:p w:rsidR="006C4501" w:rsidRPr="001804F4" w:rsidRDefault="006C4501" w:rsidP="00F7774E">
      <w:pPr>
        <w:spacing w:after="240"/>
        <w:rPr>
          <w:rFonts w:ascii="Calibri" w:hAnsi="Calibri" w:cs="Calibri"/>
          <w:b/>
          <w:bCs/>
          <w:color w:val="000000"/>
          <w:sz w:val="28"/>
          <w:szCs w:val="28"/>
          <w:lang w:val="it-IT"/>
        </w:rPr>
      </w:pPr>
      <w:r w:rsidRPr="001804F4">
        <w:rPr>
          <w:rFonts w:ascii="Calibri" w:hAnsi="Calibri" w:cs="Calibri"/>
          <w:b/>
          <w:bCs/>
          <w:color w:val="000000"/>
          <w:sz w:val="28"/>
          <w:szCs w:val="28"/>
          <w:lang w:val="it-IT"/>
        </w:rPr>
        <w:t>Introduzione</w:t>
      </w:r>
    </w:p>
    <w:p w:rsidR="006C4501" w:rsidRDefault="006C4501" w:rsidP="001804F4">
      <w:pPr>
        <w:widowControl w:val="0"/>
        <w:autoSpaceDE w:val="0"/>
        <w:autoSpaceDN w:val="0"/>
        <w:adjustRightInd w:val="0"/>
        <w:spacing w:after="240"/>
        <w:jc w:val="both"/>
        <w:rPr>
          <w:rFonts w:ascii="Calibri" w:hAnsi="Calibri" w:cs="Calibri"/>
          <w:color w:val="000000"/>
          <w:lang w:val="it-IT"/>
        </w:rPr>
      </w:pPr>
      <w:r w:rsidRPr="001804F4">
        <w:rPr>
          <w:rFonts w:ascii="Calibri" w:hAnsi="Calibri" w:cs="Calibri"/>
          <w:color w:val="000000"/>
          <w:lang w:val="it-IT"/>
        </w:rPr>
        <w:t xml:space="preserve">La scoperta degli inibitori di pompa protonica (IPP) ha rivoluzionato il trattamento di molte malattie gastro-intestinali acido-correlate. Gli IPP </w:t>
      </w:r>
      <w:r w:rsidRPr="00FC77FC">
        <w:rPr>
          <w:rFonts w:ascii="Calibri" w:hAnsi="Calibri" w:cs="Calibri"/>
          <w:color w:val="000000"/>
          <w:lang w:val="it-IT"/>
        </w:rPr>
        <w:t>sono infatti la classe di farmaci più efficace per inibire la secrezione gastrica. Sono inoltre caratterizzati</w:t>
      </w:r>
      <w:r>
        <w:rPr>
          <w:rFonts w:ascii="Calibri" w:hAnsi="Calibri" w:cs="Calibri"/>
          <w:color w:val="000000"/>
          <w:lang w:val="it-IT"/>
        </w:rPr>
        <w:t xml:space="preserve"> da una sicurezza e tollerabilità</w:t>
      </w:r>
      <w:r w:rsidRPr="00BF5060">
        <w:rPr>
          <w:rFonts w:ascii="Calibri" w:hAnsi="Calibri" w:cs="Calibri"/>
          <w:color w:val="000000"/>
          <w:lang w:val="it-IT"/>
        </w:rPr>
        <w:t xml:space="preserve"> generalmente </w:t>
      </w:r>
      <w:r>
        <w:rPr>
          <w:rFonts w:ascii="Calibri" w:hAnsi="Calibri" w:cs="Calibri"/>
          <w:color w:val="000000"/>
          <w:lang w:val="it-IT"/>
        </w:rPr>
        <w:t>ottime</w:t>
      </w:r>
      <w:r w:rsidRPr="00BF5060">
        <w:rPr>
          <w:rFonts w:ascii="Calibri" w:hAnsi="Calibri" w:cs="Calibri"/>
          <w:color w:val="000000"/>
          <w:lang w:val="it-IT"/>
        </w:rPr>
        <w:t xml:space="preserve">. Il favorevole rapporto rischio-beneficio </w:t>
      </w:r>
      <w:r>
        <w:rPr>
          <w:rFonts w:ascii="Calibri" w:hAnsi="Calibri" w:cs="Calibri"/>
          <w:color w:val="000000"/>
          <w:lang w:val="it-IT"/>
        </w:rPr>
        <w:t>ne ha quindi</w:t>
      </w:r>
      <w:r w:rsidRPr="00BF5060">
        <w:rPr>
          <w:rFonts w:ascii="Calibri" w:hAnsi="Calibri" w:cs="Calibri"/>
          <w:color w:val="000000"/>
          <w:lang w:val="it-IT"/>
        </w:rPr>
        <w:t xml:space="preserve"> favorito l’uso clinico</w:t>
      </w:r>
      <w:r>
        <w:rPr>
          <w:rFonts w:ascii="Calibri" w:hAnsi="Calibri" w:cs="Calibri"/>
          <w:color w:val="000000"/>
          <w:lang w:val="it-IT"/>
        </w:rPr>
        <w:t xml:space="preserve">, facendone </w:t>
      </w:r>
      <w:r w:rsidRPr="00BF5060">
        <w:rPr>
          <w:rFonts w:ascii="Calibri" w:hAnsi="Calibri" w:cs="Calibri"/>
          <w:color w:val="000000"/>
          <w:lang w:val="it-IT"/>
        </w:rPr>
        <w:t>una delle classi di farmaci più prescritte</w:t>
      </w:r>
      <w:r w:rsidRPr="001804F4">
        <w:rPr>
          <w:rFonts w:ascii="Calibri" w:hAnsi="Calibri" w:cs="Calibri"/>
          <w:color w:val="000000"/>
          <w:lang w:val="it-IT"/>
        </w:rPr>
        <w:t>.</w:t>
      </w:r>
    </w:p>
    <w:p w:rsidR="006C4501" w:rsidRPr="001804F4" w:rsidRDefault="006C4501" w:rsidP="001804F4">
      <w:pPr>
        <w:widowControl w:val="0"/>
        <w:autoSpaceDE w:val="0"/>
        <w:autoSpaceDN w:val="0"/>
        <w:adjustRightInd w:val="0"/>
        <w:spacing w:after="240"/>
        <w:jc w:val="both"/>
        <w:rPr>
          <w:rFonts w:ascii="Calibri" w:hAnsi="Calibri" w:cs="Calibri"/>
          <w:color w:val="000000"/>
          <w:lang w:val="it-IT"/>
        </w:rPr>
      </w:pPr>
      <w:r w:rsidRPr="001804F4">
        <w:rPr>
          <w:rFonts w:ascii="Calibri" w:hAnsi="Calibri" w:cs="Calibri"/>
          <w:color w:val="000000"/>
          <w:lang w:val="it-IT"/>
        </w:rPr>
        <w:t xml:space="preserve">Un numero crescente di studi ha </w:t>
      </w:r>
      <w:r>
        <w:rPr>
          <w:rFonts w:ascii="Calibri" w:hAnsi="Calibri" w:cs="Calibri"/>
          <w:color w:val="000000"/>
          <w:lang w:val="it-IT"/>
        </w:rPr>
        <w:t xml:space="preserve">però </w:t>
      </w:r>
      <w:r w:rsidRPr="001804F4">
        <w:rPr>
          <w:rFonts w:ascii="Calibri" w:hAnsi="Calibri" w:cs="Calibri"/>
          <w:color w:val="000000"/>
          <w:lang w:val="it-IT"/>
        </w:rPr>
        <w:t>messo in evidenza come gli IPP siano spesso prescritti in maniera inappropriata</w:t>
      </w:r>
      <w:r>
        <w:rPr>
          <w:rFonts w:ascii="Calibri" w:hAnsi="Calibri" w:cs="Calibri"/>
          <w:color w:val="000000"/>
          <w:lang w:val="it-IT"/>
        </w:rPr>
        <w:t>,</w:t>
      </w:r>
      <w:r w:rsidRPr="001804F4">
        <w:rPr>
          <w:rFonts w:ascii="Calibri" w:hAnsi="Calibri" w:cs="Calibri"/>
          <w:color w:val="000000"/>
          <w:lang w:val="it-IT"/>
        </w:rPr>
        <w:t xml:space="preserve"> con un’importante ricaduta economica anche per il Sistema Sanitario Nazionale.</w:t>
      </w:r>
    </w:p>
    <w:p w:rsidR="006C4501" w:rsidRDefault="006C4501" w:rsidP="001804F4">
      <w:pPr>
        <w:spacing w:after="240"/>
        <w:jc w:val="both"/>
        <w:rPr>
          <w:rFonts w:ascii="Calibri" w:hAnsi="Calibri" w:cs="Calibri"/>
          <w:color w:val="000000"/>
          <w:lang w:val="it-IT"/>
        </w:rPr>
      </w:pPr>
      <w:r w:rsidRPr="009123A1">
        <w:rPr>
          <w:rFonts w:ascii="Calibri" w:hAnsi="Calibri" w:cs="Calibri"/>
          <w:color w:val="000000"/>
          <w:lang w:val="it-IT"/>
        </w:rPr>
        <w:t xml:space="preserve">In questa ottica, l’Associazione Italiana dei Gastroenterologi Ospedalieri (AIGO), la Società Italiana di Farmacologia (SIF) e la Federazione Italiana dei Medici di Medicina Generale (FIMMG) e </w:t>
      </w:r>
      <w:r w:rsidRPr="001804F4">
        <w:rPr>
          <w:rFonts w:ascii="Calibri" w:hAnsi="Calibri" w:cs="Calibri"/>
          <w:color w:val="000000"/>
          <w:lang w:val="it-IT"/>
        </w:rPr>
        <w:t xml:space="preserve">hanno costituito un comitato di esperti per elaborare un documento sull’appropriatezza terapeutica degli </w:t>
      </w:r>
      <w:r>
        <w:rPr>
          <w:rFonts w:ascii="Calibri" w:hAnsi="Calibri" w:cs="Calibri"/>
          <w:color w:val="000000"/>
          <w:lang w:val="it-IT"/>
        </w:rPr>
        <w:t>IPP</w:t>
      </w:r>
      <w:r w:rsidRPr="001804F4">
        <w:rPr>
          <w:rFonts w:ascii="Calibri" w:hAnsi="Calibri" w:cs="Calibri"/>
          <w:color w:val="000000"/>
          <w:lang w:val="it-IT"/>
        </w:rPr>
        <w:t xml:space="preserve"> sintetizzando le attuali indicazioni cliniche, </w:t>
      </w:r>
      <w:r w:rsidRPr="00FC77FC">
        <w:rPr>
          <w:rFonts w:ascii="Calibri" w:hAnsi="Calibri" w:cs="Calibri"/>
          <w:color w:val="000000"/>
          <w:lang w:val="it-IT"/>
        </w:rPr>
        <w:t>basate sulle evidenze presenti in letteratura.</w:t>
      </w:r>
    </w:p>
    <w:p w:rsidR="006C4501" w:rsidRDefault="006C4501" w:rsidP="00FD0460">
      <w:pPr>
        <w:spacing w:after="240"/>
        <w:jc w:val="both"/>
        <w:rPr>
          <w:rFonts w:ascii="Calibri" w:hAnsi="Calibri" w:cs="Calibri"/>
          <w:b/>
          <w:bCs/>
          <w:smallCaps/>
          <w:color w:val="000000"/>
          <w:sz w:val="32"/>
          <w:szCs w:val="32"/>
          <w:lang w:val="it-IT"/>
        </w:rPr>
      </w:pPr>
      <w:r w:rsidRPr="00123A10">
        <w:rPr>
          <w:rFonts w:ascii="Calibri" w:hAnsi="Calibri" w:cs="Calibri"/>
          <w:color w:val="000000"/>
          <w:u w:val="single"/>
          <w:lang w:val="it-IT"/>
        </w:rPr>
        <w:br w:type="page"/>
      </w:r>
      <w:r w:rsidRPr="001804F4">
        <w:rPr>
          <w:rFonts w:ascii="Calibri" w:hAnsi="Calibri" w:cs="Calibri"/>
          <w:b/>
          <w:bCs/>
          <w:smallCaps/>
          <w:color w:val="000000"/>
          <w:sz w:val="32"/>
          <w:szCs w:val="32"/>
          <w:lang w:val="it-IT"/>
        </w:rPr>
        <w:lastRenderedPageBreak/>
        <w:t>Definizioni</w:t>
      </w:r>
    </w:p>
    <w:p w:rsidR="006C4501" w:rsidRPr="00D10A3D" w:rsidRDefault="006C4501" w:rsidP="00FB5B0F">
      <w:pPr>
        <w:spacing w:after="240"/>
        <w:ind w:left="720"/>
        <w:jc w:val="both"/>
        <w:rPr>
          <w:rFonts w:ascii="Calibri" w:hAnsi="Calibri" w:cs="Calibri"/>
          <w:color w:val="000000"/>
          <w:sz w:val="28"/>
          <w:szCs w:val="28"/>
          <w:lang w:val="it-IT"/>
        </w:rPr>
      </w:pPr>
      <w:r w:rsidRPr="00D10A3D">
        <w:rPr>
          <w:rFonts w:ascii="Calibri" w:hAnsi="Calibri" w:cs="Calibri"/>
          <w:color w:val="000000"/>
          <w:sz w:val="28"/>
          <w:szCs w:val="28"/>
          <w:lang w:val="it-IT"/>
        </w:rPr>
        <w:t>IPP attualmente disponibili:</w:t>
      </w:r>
    </w:p>
    <w:p w:rsidR="006C4501" w:rsidRPr="00D10A3D" w:rsidRDefault="006C4501" w:rsidP="001804F4">
      <w:pPr>
        <w:pStyle w:val="Paragrafoelenco"/>
        <w:numPr>
          <w:ilvl w:val="0"/>
          <w:numId w:val="19"/>
        </w:numPr>
        <w:spacing w:after="240"/>
        <w:jc w:val="both"/>
        <w:rPr>
          <w:rFonts w:ascii="Calibri" w:hAnsi="Calibri" w:cs="Calibri"/>
          <w:color w:val="000000"/>
          <w:lang w:val="it-IT"/>
        </w:rPr>
      </w:pPr>
      <w:proofErr w:type="spellStart"/>
      <w:r w:rsidRPr="00D10A3D">
        <w:rPr>
          <w:rFonts w:ascii="Calibri" w:hAnsi="Calibri" w:cs="Calibri"/>
          <w:color w:val="000000"/>
          <w:lang w:val="it-IT"/>
        </w:rPr>
        <w:t>omeprazolo</w:t>
      </w:r>
      <w:proofErr w:type="spellEnd"/>
      <w:r w:rsidRPr="00D10A3D">
        <w:rPr>
          <w:rFonts w:ascii="Calibri" w:hAnsi="Calibri" w:cs="Calibri"/>
          <w:color w:val="000000"/>
          <w:lang w:val="it-IT"/>
        </w:rPr>
        <w:t xml:space="preserve"> </w:t>
      </w:r>
      <w:r>
        <w:rPr>
          <w:rFonts w:ascii="Calibri" w:hAnsi="Calibri" w:cs="Calibri"/>
          <w:color w:val="000000"/>
          <w:lang w:val="it-IT"/>
        </w:rPr>
        <w:t>(</w:t>
      </w:r>
      <w:proofErr w:type="spellStart"/>
      <w:r>
        <w:rPr>
          <w:rFonts w:ascii="Calibri" w:hAnsi="Calibri" w:cs="Calibri"/>
          <w:color w:val="000000"/>
          <w:lang w:val="it-IT"/>
        </w:rPr>
        <w:t>os</w:t>
      </w:r>
      <w:proofErr w:type="spellEnd"/>
      <w:r>
        <w:rPr>
          <w:rFonts w:ascii="Calibri" w:hAnsi="Calibri" w:cs="Calibri"/>
          <w:color w:val="000000"/>
          <w:lang w:val="it-IT"/>
        </w:rPr>
        <w:t xml:space="preserve">, </w:t>
      </w:r>
      <w:proofErr w:type="spellStart"/>
      <w:r>
        <w:rPr>
          <w:rFonts w:ascii="Calibri" w:hAnsi="Calibri" w:cs="Calibri"/>
          <w:color w:val="000000"/>
          <w:lang w:val="it-IT"/>
        </w:rPr>
        <w:t>ev</w:t>
      </w:r>
      <w:proofErr w:type="spellEnd"/>
      <w:r>
        <w:rPr>
          <w:rFonts w:ascii="Calibri" w:hAnsi="Calibri" w:cs="Calibri"/>
          <w:color w:val="000000"/>
          <w:lang w:val="it-IT"/>
        </w:rPr>
        <w:t>)</w:t>
      </w:r>
    </w:p>
    <w:p w:rsidR="006C4501" w:rsidRPr="00D10A3D" w:rsidRDefault="006C4501" w:rsidP="001804F4">
      <w:pPr>
        <w:pStyle w:val="Paragrafoelenco"/>
        <w:numPr>
          <w:ilvl w:val="0"/>
          <w:numId w:val="19"/>
        </w:numPr>
        <w:spacing w:after="240"/>
        <w:jc w:val="both"/>
        <w:rPr>
          <w:rFonts w:ascii="Calibri" w:hAnsi="Calibri" w:cs="Calibri"/>
          <w:color w:val="000000"/>
          <w:lang w:val="it-IT"/>
        </w:rPr>
      </w:pPr>
      <w:proofErr w:type="spellStart"/>
      <w:r w:rsidRPr="00D10A3D">
        <w:rPr>
          <w:rFonts w:ascii="Calibri" w:hAnsi="Calibri" w:cs="Calibri"/>
          <w:color w:val="000000"/>
          <w:lang w:val="it-IT"/>
        </w:rPr>
        <w:t>lansoprazolo</w:t>
      </w:r>
      <w:proofErr w:type="spellEnd"/>
      <w:r w:rsidRPr="00D10A3D">
        <w:rPr>
          <w:rFonts w:ascii="Calibri" w:hAnsi="Calibri" w:cs="Calibri"/>
          <w:color w:val="000000"/>
          <w:lang w:val="it-IT"/>
        </w:rPr>
        <w:t xml:space="preserve"> (</w:t>
      </w:r>
      <w:proofErr w:type="spellStart"/>
      <w:r>
        <w:rPr>
          <w:rFonts w:ascii="Calibri" w:hAnsi="Calibri" w:cs="Calibri"/>
          <w:color w:val="000000"/>
          <w:lang w:val="it-IT"/>
        </w:rPr>
        <w:t>os</w:t>
      </w:r>
      <w:proofErr w:type="spellEnd"/>
      <w:r>
        <w:rPr>
          <w:rFonts w:ascii="Calibri" w:hAnsi="Calibri" w:cs="Calibri"/>
          <w:color w:val="000000"/>
          <w:lang w:val="it-IT"/>
        </w:rPr>
        <w:t xml:space="preserve">, formulazione standard e formulazione </w:t>
      </w:r>
      <w:proofErr w:type="spellStart"/>
      <w:r>
        <w:rPr>
          <w:rFonts w:ascii="Calibri" w:hAnsi="Calibri" w:cs="Calibri"/>
          <w:color w:val="000000"/>
          <w:lang w:val="it-IT"/>
        </w:rPr>
        <w:t>orodispe</w:t>
      </w:r>
      <w:r w:rsidR="00C06599">
        <w:rPr>
          <w:rFonts w:ascii="Calibri" w:hAnsi="Calibri" w:cs="Calibri"/>
          <w:color w:val="000000"/>
          <w:lang w:val="it-IT"/>
        </w:rPr>
        <w:t>rs</w:t>
      </w:r>
      <w:r>
        <w:rPr>
          <w:rFonts w:ascii="Calibri" w:hAnsi="Calibri" w:cs="Calibri"/>
          <w:color w:val="000000"/>
          <w:lang w:val="it-IT"/>
        </w:rPr>
        <w:t>ibile</w:t>
      </w:r>
      <w:proofErr w:type="spellEnd"/>
      <w:r w:rsidRPr="00D10A3D">
        <w:rPr>
          <w:rFonts w:ascii="Calibri" w:hAnsi="Calibri" w:cs="Calibri"/>
          <w:color w:val="000000"/>
          <w:lang w:val="it-IT"/>
        </w:rPr>
        <w:t>)</w:t>
      </w:r>
    </w:p>
    <w:p w:rsidR="006C4501" w:rsidRDefault="006C4501" w:rsidP="001804F4">
      <w:pPr>
        <w:pStyle w:val="Paragrafoelenco"/>
        <w:numPr>
          <w:ilvl w:val="0"/>
          <w:numId w:val="19"/>
        </w:numPr>
        <w:spacing w:after="240"/>
        <w:jc w:val="both"/>
        <w:rPr>
          <w:rFonts w:ascii="Calibri" w:hAnsi="Calibri" w:cs="Calibri"/>
          <w:color w:val="000000"/>
          <w:lang w:val="it-IT"/>
        </w:rPr>
      </w:pPr>
      <w:proofErr w:type="spellStart"/>
      <w:r w:rsidRPr="002C1374">
        <w:rPr>
          <w:rFonts w:ascii="Calibri" w:hAnsi="Calibri" w:cs="Calibri"/>
          <w:color w:val="000000"/>
          <w:lang w:val="it-IT"/>
        </w:rPr>
        <w:t>pantoprazolo</w:t>
      </w:r>
      <w:proofErr w:type="spellEnd"/>
      <w:r>
        <w:rPr>
          <w:rFonts w:ascii="Calibri" w:hAnsi="Calibri" w:cs="Calibri"/>
          <w:color w:val="000000"/>
          <w:lang w:val="it-IT"/>
        </w:rPr>
        <w:t xml:space="preserve"> (</w:t>
      </w:r>
      <w:proofErr w:type="spellStart"/>
      <w:r>
        <w:rPr>
          <w:rFonts w:ascii="Calibri" w:hAnsi="Calibri" w:cs="Calibri"/>
          <w:color w:val="000000"/>
          <w:lang w:val="it-IT"/>
        </w:rPr>
        <w:t>os</w:t>
      </w:r>
      <w:proofErr w:type="spellEnd"/>
      <w:r>
        <w:rPr>
          <w:rFonts w:ascii="Calibri" w:hAnsi="Calibri" w:cs="Calibri"/>
          <w:color w:val="000000"/>
          <w:lang w:val="it-IT"/>
        </w:rPr>
        <w:t xml:space="preserve">, </w:t>
      </w:r>
      <w:proofErr w:type="spellStart"/>
      <w:r>
        <w:rPr>
          <w:rFonts w:ascii="Calibri" w:hAnsi="Calibri" w:cs="Calibri"/>
          <w:color w:val="000000"/>
          <w:lang w:val="it-IT"/>
        </w:rPr>
        <w:t>ev</w:t>
      </w:r>
      <w:proofErr w:type="spellEnd"/>
      <w:r>
        <w:rPr>
          <w:rFonts w:ascii="Calibri" w:hAnsi="Calibri" w:cs="Calibri"/>
          <w:color w:val="000000"/>
          <w:lang w:val="it-IT"/>
        </w:rPr>
        <w:t>)</w:t>
      </w:r>
    </w:p>
    <w:p w:rsidR="006C4501" w:rsidRPr="002C1374" w:rsidRDefault="006C4501" w:rsidP="001804F4">
      <w:pPr>
        <w:pStyle w:val="Paragrafoelenco"/>
        <w:numPr>
          <w:ilvl w:val="0"/>
          <w:numId w:val="19"/>
        </w:numPr>
        <w:spacing w:after="240"/>
        <w:jc w:val="both"/>
        <w:rPr>
          <w:rFonts w:ascii="Calibri" w:hAnsi="Calibri" w:cs="Calibri"/>
          <w:color w:val="000000"/>
          <w:lang w:val="it-IT"/>
        </w:rPr>
      </w:pPr>
      <w:proofErr w:type="spellStart"/>
      <w:r w:rsidRPr="002C1374">
        <w:rPr>
          <w:rFonts w:ascii="Calibri" w:hAnsi="Calibri" w:cs="Calibri"/>
          <w:color w:val="000000"/>
          <w:lang w:val="it-IT"/>
        </w:rPr>
        <w:t>rabeprazolo</w:t>
      </w:r>
      <w:proofErr w:type="spellEnd"/>
      <w:r>
        <w:rPr>
          <w:rFonts w:ascii="Calibri" w:hAnsi="Calibri" w:cs="Calibri"/>
          <w:color w:val="000000"/>
          <w:lang w:val="it-IT"/>
        </w:rPr>
        <w:t xml:space="preserve"> (</w:t>
      </w:r>
      <w:proofErr w:type="spellStart"/>
      <w:r>
        <w:rPr>
          <w:rFonts w:ascii="Calibri" w:hAnsi="Calibri" w:cs="Calibri"/>
          <w:color w:val="000000"/>
          <w:lang w:val="it-IT"/>
        </w:rPr>
        <w:t>os</w:t>
      </w:r>
      <w:proofErr w:type="spellEnd"/>
      <w:r>
        <w:rPr>
          <w:rFonts w:ascii="Calibri" w:hAnsi="Calibri" w:cs="Calibri"/>
          <w:color w:val="000000"/>
          <w:lang w:val="it-IT"/>
        </w:rPr>
        <w:t>)</w:t>
      </w:r>
    </w:p>
    <w:p w:rsidR="006C4501" w:rsidRPr="00DC55F9" w:rsidRDefault="006C4501" w:rsidP="001804F4">
      <w:pPr>
        <w:pStyle w:val="Paragrafoelenco"/>
        <w:numPr>
          <w:ilvl w:val="0"/>
          <w:numId w:val="19"/>
        </w:numPr>
        <w:spacing w:after="240"/>
        <w:jc w:val="both"/>
        <w:rPr>
          <w:rFonts w:ascii="Calibri" w:hAnsi="Calibri" w:cs="Calibri"/>
          <w:lang w:val="it-IT"/>
        </w:rPr>
      </w:pPr>
      <w:proofErr w:type="spellStart"/>
      <w:r w:rsidRPr="00DC55F9">
        <w:rPr>
          <w:rFonts w:ascii="Calibri" w:hAnsi="Calibri" w:cs="Calibri"/>
          <w:lang w:val="it-IT"/>
        </w:rPr>
        <w:t>esomeprazolo</w:t>
      </w:r>
      <w:proofErr w:type="spellEnd"/>
      <w:r w:rsidRPr="00DC55F9">
        <w:rPr>
          <w:rFonts w:ascii="Calibri" w:hAnsi="Calibri" w:cs="Calibri"/>
          <w:lang w:val="it-IT"/>
        </w:rPr>
        <w:t xml:space="preserve"> (</w:t>
      </w:r>
      <w:proofErr w:type="spellStart"/>
      <w:r w:rsidRPr="00DC55F9">
        <w:rPr>
          <w:rFonts w:ascii="Calibri" w:hAnsi="Calibri" w:cs="Calibri"/>
          <w:lang w:val="it-IT"/>
        </w:rPr>
        <w:t>os</w:t>
      </w:r>
      <w:proofErr w:type="spellEnd"/>
      <w:r w:rsidRPr="00DC55F9">
        <w:rPr>
          <w:rFonts w:ascii="Calibri" w:hAnsi="Calibri" w:cs="Calibri"/>
          <w:lang w:val="it-IT"/>
        </w:rPr>
        <w:t xml:space="preserve">, </w:t>
      </w:r>
      <w:proofErr w:type="spellStart"/>
      <w:r w:rsidRPr="00DC55F9">
        <w:rPr>
          <w:rFonts w:ascii="Calibri" w:hAnsi="Calibri" w:cs="Calibri"/>
          <w:lang w:val="it-IT"/>
        </w:rPr>
        <w:t>ev</w:t>
      </w:r>
      <w:proofErr w:type="spellEnd"/>
      <w:r w:rsidRPr="00DC55F9">
        <w:rPr>
          <w:rFonts w:ascii="Calibri" w:hAnsi="Calibri" w:cs="Calibri"/>
          <w:lang w:val="it-IT"/>
        </w:rPr>
        <w:t>)</w:t>
      </w:r>
    </w:p>
    <w:p w:rsidR="006C4501" w:rsidRPr="00DC55F9" w:rsidRDefault="006C4501" w:rsidP="00C10783">
      <w:pPr>
        <w:pStyle w:val="Paragrafoelenco"/>
        <w:numPr>
          <w:ilvl w:val="0"/>
          <w:numId w:val="19"/>
        </w:numPr>
        <w:spacing w:after="240"/>
        <w:jc w:val="both"/>
        <w:rPr>
          <w:rFonts w:ascii="Calibri" w:hAnsi="Calibri" w:cs="Calibri"/>
          <w:lang w:val="it-IT"/>
        </w:rPr>
      </w:pPr>
      <w:proofErr w:type="spellStart"/>
      <w:r w:rsidRPr="00DC55F9">
        <w:rPr>
          <w:rFonts w:ascii="Calibri" w:hAnsi="Calibri" w:cs="Calibri"/>
          <w:lang w:val="it-IT"/>
        </w:rPr>
        <w:t>dexlansoprazolo</w:t>
      </w:r>
      <w:proofErr w:type="spellEnd"/>
      <w:r w:rsidRPr="00DC55F9">
        <w:rPr>
          <w:rFonts w:ascii="Calibri" w:hAnsi="Calibri" w:cs="Calibri"/>
          <w:lang w:val="it-IT"/>
        </w:rPr>
        <w:t xml:space="preserve"> (</w:t>
      </w:r>
      <w:proofErr w:type="spellStart"/>
      <w:r w:rsidRPr="00DC55F9">
        <w:rPr>
          <w:rFonts w:ascii="Calibri" w:hAnsi="Calibri" w:cs="Calibri"/>
          <w:lang w:val="it-IT"/>
        </w:rPr>
        <w:t>os</w:t>
      </w:r>
      <w:proofErr w:type="spellEnd"/>
      <w:r w:rsidRPr="00DC55F9">
        <w:rPr>
          <w:rFonts w:ascii="Calibri" w:hAnsi="Calibri" w:cs="Calibri"/>
          <w:lang w:val="it-IT"/>
        </w:rPr>
        <w:t xml:space="preserve">, formulazione a rilascio ritardato, disponibile al momento solo negli Stati Uniti) </w:t>
      </w:r>
    </w:p>
    <w:p w:rsidR="006C4501" w:rsidRPr="00DC55F9" w:rsidRDefault="006C4501" w:rsidP="00FB5B0F">
      <w:pPr>
        <w:spacing w:after="240"/>
        <w:ind w:left="720"/>
        <w:jc w:val="both"/>
        <w:rPr>
          <w:rFonts w:ascii="Calibri" w:hAnsi="Calibri" w:cs="Calibri"/>
          <w:sz w:val="28"/>
          <w:szCs w:val="28"/>
          <w:lang w:val="it-IT"/>
        </w:rPr>
      </w:pPr>
      <w:r w:rsidRPr="00DC55F9">
        <w:rPr>
          <w:rFonts w:ascii="Calibri" w:hAnsi="Calibri" w:cs="Calibri"/>
          <w:sz w:val="28"/>
          <w:szCs w:val="28"/>
          <w:lang w:val="it-IT"/>
        </w:rPr>
        <w:t>Dose Standard degli IPP:</w:t>
      </w:r>
    </w:p>
    <w:p w:rsidR="006C4501" w:rsidRPr="00DC55F9" w:rsidRDefault="006C4501" w:rsidP="001804F4">
      <w:pPr>
        <w:pStyle w:val="Paragrafoelenco"/>
        <w:numPr>
          <w:ilvl w:val="0"/>
          <w:numId w:val="21"/>
        </w:numPr>
        <w:spacing w:after="240"/>
        <w:jc w:val="both"/>
        <w:rPr>
          <w:rFonts w:ascii="Calibri" w:hAnsi="Calibri" w:cs="Calibri"/>
          <w:lang w:val="it-IT"/>
        </w:rPr>
      </w:pPr>
      <w:proofErr w:type="spellStart"/>
      <w:r w:rsidRPr="00DC55F9">
        <w:rPr>
          <w:rFonts w:ascii="Calibri" w:hAnsi="Calibri" w:cs="Calibri"/>
          <w:lang w:val="it-IT"/>
        </w:rPr>
        <w:t>omeprazolo</w:t>
      </w:r>
      <w:proofErr w:type="spellEnd"/>
      <w:r w:rsidRPr="00DC55F9">
        <w:rPr>
          <w:rFonts w:ascii="Calibri" w:hAnsi="Calibri" w:cs="Calibri"/>
          <w:lang w:val="it-IT"/>
        </w:rPr>
        <w:t xml:space="preserve"> 20 mg</w:t>
      </w:r>
    </w:p>
    <w:p w:rsidR="006C4501" w:rsidRPr="00DC55F9" w:rsidRDefault="006C4501" w:rsidP="001804F4">
      <w:pPr>
        <w:pStyle w:val="Paragrafoelenco"/>
        <w:numPr>
          <w:ilvl w:val="0"/>
          <w:numId w:val="21"/>
        </w:numPr>
        <w:spacing w:after="240"/>
        <w:jc w:val="both"/>
        <w:rPr>
          <w:rFonts w:ascii="Calibri" w:hAnsi="Calibri" w:cs="Calibri"/>
          <w:lang w:val="it-IT"/>
        </w:rPr>
      </w:pPr>
      <w:proofErr w:type="spellStart"/>
      <w:r w:rsidRPr="00DC55F9">
        <w:rPr>
          <w:rFonts w:ascii="Calibri" w:hAnsi="Calibri" w:cs="Calibri"/>
          <w:lang w:val="it-IT"/>
        </w:rPr>
        <w:t>lansoprazolo</w:t>
      </w:r>
      <w:proofErr w:type="spellEnd"/>
      <w:r w:rsidRPr="00DC55F9">
        <w:rPr>
          <w:rFonts w:ascii="Calibri" w:hAnsi="Calibri" w:cs="Calibri"/>
          <w:lang w:val="it-IT"/>
        </w:rPr>
        <w:t xml:space="preserve"> 30 mg</w:t>
      </w:r>
    </w:p>
    <w:p w:rsidR="006C4501" w:rsidRPr="00DC55F9" w:rsidRDefault="006C4501" w:rsidP="001804F4">
      <w:pPr>
        <w:pStyle w:val="Paragrafoelenco"/>
        <w:numPr>
          <w:ilvl w:val="0"/>
          <w:numId w:val="21"/>
        </w:numPr>
        <w:spacing w:after="240"/>
        <w:jc w:val="both"/>
        <w:rPr>
          <w:rFonts w:ascii="Calibri" w:hAnsi="Calibri" w:cs="Calibri"/>
          <w:lang w:val="it-IT"/>
        </w:rPr>
      </w:pPr>
      <w:proofErr w:type="spellStart"/>
      <w:r w:rsidRPr="00DC55F9">
        <w:rPr>
          <w:rFonts w:ascii="Calibri" w:hAnsi="Calibri" w:cs="Calibri"/>
          <w:lang w:val="it-IT"/>
        </w:rPr>
        <w:t>pantoprazolo</w:t>
      </w:r>
      <w:proofErr w:type="spellEnd"/>
      <w:r w:rsidRPr="00DC55F9">
        <w:rPr>
          <w:rFonts w:ascii="Calibri" w:hAnsi="Calibri" w:cs="Calibri"/>
          <w:lang w:val="it-IT"/>
        </w:rPr>
        <w:t xml:space="preserve"> 40 mg</w:t>
      </w:r>
    </w:p>
    <w:p w:rsidR="006C4501" w:rsidRPr="00DC55F9" w:rsidRDefault="006C4501" w:rsidP="001804F4">
      <w:pPr>
        <w:pStyle w:val="Paragrafoelenco"/>
        <w:numPr>
          <w:ilvl w:val="0"/>
          <w:numId w:val="21"/>
        </w:numPr>
        <w:spacing w:after="240"/>
        <w:jc w:val="both"/>
        <w:rPr>
          <w:rFonts w:ascii="Calibri" w:hAnsi="Calibri" w:cs="Calibri"/>
          <w:lang w:val="it-IT"/>
        </w:rPr>
      </w:pPr>
      <w:proofErr w:type="spellStart"/>
      <w:r w:rsidRPr="00DC55F9">
        <w:rPr>
          <w:rFonts w:ascii="Calibri" w:hAnsi="Calibri" w:cs="Calibri"/>
          <w:lang w:val="it-IT"/>
        </w:rPr>
        <w:t>rabeprazolo</w:t>
      </w:r>
      <w:proofErr w:type="spellEnd"/>
      <w:r w:rsidRPr="00DC55F9">
        <w:rPr>
          <w:rFonts w:ascii="Calibri" w:hAnsi="Calibri" w:cs="Calibri"/>
          <w:lang w:val="it-IT"/>
        </w:rPr>
        <w:t xml:space="preserve"> 20 mg</w:t>
      </w:r>
    </w:p>
    <w:p w:rsidR="006C4501" w:rsidRPr="00DC55F9" w:rsidRDefault="006C4501" w:rsidP="001804F4">
      <w:pPr>
        <w:pStyle w:val="Paragrafoelenco"/>
        <w:numPr>
          <w:ilvl w:val="0"/>
          <w:numId w:val="21"/>
        </w:numPr>
        <w:spacing w:after="240"/>
        <w:jc w:val="both"/>
        <w:rPr>
          <w:rFonts w:ascii="Calibri" w:hAnsi="Calibri" w:cs="Calibri"/>
          <w:lang w:val="it-IT"/>
        </w:rPr>
      </w:pPr>
      <w:proofErr w:type="spellStart"/>
      <w:r w:rsidRPr="00DC55F9">
        <w:rPr>
          <w:rFonts w:ascii="Calibri" w:hAnsi="Calibri" w:cs="Calibri"/>
          <w:lang w:val="it-IT"/>
        </w:rPr>
        <w:t>esomeprazolo</w:t>
      </w:r>
      <w:proofErr w:type="spellEnd"/>
      <w:r w:rsidRPr="00DC55F9">
        <w:rPr>
          <w:rFonts w:ascii="Calibri" w:hAnsi="Calibri" w:cs="Calibri"/>
          <w:lang w:val="it-IT"/>
        </w:rPr>
        <w:t xml:space="preserve"> 40 mg</w:t>
      </w:r>
    </w:p>
    <w:p w:rsidR="006C4501" w:rsidRPr="00DC55F9" w:rsidRDefault="006C4501" w:rsidP="002C1374">
      <w:pPr>
        <w:pStyle w:val="Paragrafoelenco"/>
        <w:numPr>
          <w:ilvl w:val="0"/>
          <w:numId w:val="21"/>
        </w:numPr>
        <w:spacing w:after="240"/>
        <w:jc w:val="both"/>
        <w:rPr>
          <w:rFonts w:ascii="Calibri" w:hAnsi="Calibri" w:cs="Calibri"/>
          <w:lang w:val="it-IT"/>
        </w:rPr>
      </w:pPr>
      <w:proofErr w:type="spellStart"/>
      <w:r w:rsidRPr="00DC55F9">
        <w:rPr>
          <w:rFonts w:ascii="Calibri" w:hAnsi="Calibri" w:cs="Calibri"/>
          <w:lang w:val="it-IT"/>
        </w:rPr>
        <w:t>dexlansoprazolo</w:t>
      </w:r>
      <w:proofErr w:type="spellEnd"/>
      <w:r w:rsidRPr="00DC55F9">
        <w:rPr>
          <w:rFonts w:ascii="Calibri" w:hAnsi="Calibri" w:cs="Calibri"/>
          <w:lang w:val="it-IT"/>
        </w:rPr>
        <w:t xml:space="preserve"> 60 mg (come sopra)</w:t>
      </w:r>
    </w:p>
    <w:p w:rsidR="006C4501" w:rsidRPr="00DC55F9" w:rsidRDefault="006C4501" w:rsidP="00FB5B0F">
      <w:pPr>
        <w:spacing w:after="240"/>
        <w:ind w:left="720"/>
        <w:jc w:val="both"/>
        <w:rPr>
          <w:rFonts w:ascii="Calibri" w:hAnsi="Calibri" w:cs="Calibri"/>
          <w:sz w:val="28"/>
          <w:szCs w:val="28"/>
          <w:lang w:val="it-IT"/>
        </w:rPr>
      </w:pPr>
      <w:r w:rsidRPr="00DC55F9">
        <w:rPr>
          <w:rFonts w:ascii="Calibri" w:hAnsi="Calibri" w:cs="Calibri"/>
          <w:sz w:val="28"/>
          <w:szCs w:val="28"/>
          <w:lang w:val="it-IT"/>
        </w:rPr>
        <w:t>Dose dimezzata degli IPP:</w:t>
      </w:r>
    </w:p>
    <w:p w:rsidR="006C4501" w:rsidRPr="00DC55F9" w:rsidRDefault="006C4501" w:rsidP="001804F4">
      <w:pPr>
        <w:pStyle w:val="Paragrafoelenco"/>
        <w:numPr>
          <w:ilvl w:val="0"/>
          <w:numId w:val="23"/>
        </w:numPr>
        <w:spacing w:after="240"/>
        <w:jc w:val="both"/>
        <w:rPr>
          <w:rFonts w:ascii="Calibri" w:hAnsi="Calibri" w:cs="Calibri"/>
          <w:lang w:val="it-IT"/>
        </w:rPr>
      </w:pPr>
      <w:proofErr w:type="spellStart"/>
      <w:r w:rsidRPr="00DC55F9">
        <w:rPr>
          <w:rFonts w:ascii="Calibri" w:hAnsi="Calibri" w:cs="Calibri"/>
          <w:lang w:val="it-IT"/>
        </w:rPr>
        <w:t>omeprazolo</w:t>
      </w:r>
      <w:proofErr w:type="spellEnd"/>
      <w:r w:rsidRPr="00DC55F9">
        <w:rPr>
          <w:rFonts w:ascii="Calibri" w:hAnsi="Calibri" w:cs="Calibri"/>
          <w:lang w:val="it-IT"/>
        </w:rPr>
        <w:t xml:space="preserve"> 10 mg</w:t>
      </w:r>
    </w:p>
    <w:p w:rsidR="006C4501" w:rsidRPr="00DC55F9" w:rsidRDefault="006C4501" w:rsidP="001804F4">
      <w:pPr>
        <w:pStyle w:val="Paragrafoelenco"/>
        <w:numPr>
          <w:ilvl w:val="0"/>
          <w:numId w:val="23"/>
        </w:numPr>
        <w:spacing w:after="240"/>
        <w:jc w:val="both"/>
        <w:rPr>
          <w:rFonts w:ascii="Calibri" w:hAnsi="Calibri" w:cs="Calibri"/>
          <w:lang w:val="it-IT"/>
        </w:rPr>
      </w:pPr>
      <w:proofErr w:type="spellStart"/>
      <w:r w:rsidRPr="00DC55F9">
        <w:rPr>
          <w:rFonts w:ascii="Calibri" w:hAnsi="Calibri" w:cs="Calibri"/>
          <w:lang w:val="it-IT"/>
        </w:rPr>
        <w:t>lansoprazolo</w:t>
      </w:r>
      <w:proofErr w:type="spellEnd"/>
      <w:r w:rsidRPr="00DC55F9">
        <w:rPr>
          <w:rFonts w:ascii="Calibri" w:hAnsi="Calibri" w:cs="Calibri"/>
          <w:lang w:val="it-IT"/>
        </w:rPr>
        <w:t xml:space="preserve"> 15 mg</w:t>
      </w:r>
    </w:p>
    <w:p w:rsidR="006C4501" w:rsidRPr="00DC55F9" w:rsidRDefault="006C4501" w:rsidP="001804F4">
      <w:pPr>
        <w:pStyle w:val="Paragrafoelenco"/>
        <w:numPr>
          <w:ilvl w:val="0"/>
          <w:numId w:val="23"/>
        </w:numPr>
        <w:spacing w:after="240"/>
        <w:jc w:val="both"/>
        <w:rPr>
          <w:rFonts w:ascii="Calibri" w:hAnsi="Calibri" w:cs="Calibri"/>
          <w:lang w:val="it-IT"/>
        </w:rPr>
      </w:pPr>
      <w:proofErr w:type="spellStart"/>
      <w:r w:rsidRPr="00DC55F9">
        <w:rPr>
          <w:rFonts w:ascii="Calibri" w:hAnsi="Calibri" w:cs="Calibri"/>
          <w:lang w:val="it-IT"/>
        </w:rPr>
        <w:t>pantoprazolo</w:t>
      </w:r>
      <w:proofErr w:type="spellEnd"/>
      <w:r w:rsidRPr="00DC55F9">
        <w:rPr>
          <w:rFonts w:ascii="Calibri" w:hAnsi="Calibri" w:cs="Calibri"/>
          <w:lang w:val="it-IT"/>
        </w:rPr>
        <w:t xml:space="preserve"> 20 mg</w:t>
      </w:r>
    </w:p>
    <w:p w:rsidR="006C4501" w:rsidRPr="00DC55F9" w:rsidRDefault="006C4501" w:rsidP="001804F4">
      <w:pPr>
        <w:pStyle w:val="Paragrafoelenco"/>
        <w:numPr>
          <w:ilvl w:val="0"/>
          <w:numId w:val="23"/>
        </w:numPr>
        <w:spacing w:after="240"/>
        <w:jc w:val="both"/>
        <w:rPr>
          <w:rFonts w:ascii="Calibri" w:hAnsi="Calibri" w:cs="Calibri"/>
          <w:lang w:val="it-IT"/>
        </w:rPr>
      </w:pPr>
      <w:proofErr w:type="spellStart"/>
      <w:r w:rsidRPr="00DC55F9">
        <w:rPr>
          <w:rFonts w:ascii="Calibri" w:hAnsi="Calibri" w:cs="Calibri"/>
          <w:lang w:val="it-IT"/>
        </w:rPr>
        <w:t>rabeprazolo</w:t>
      </w:r>
      <w:proofErr w:type="spellEnd"/>
      <w:r w:rsidRPr="00DC55F9">
        <w:rPr>
          <w:rFonts w:ascii="Calibri" w:hAnsi="Calibri" w:cs="Calibri"/>
          <w:lang w:val="it-IT"/>
        </w:rPr>
        <w:t xml:space="preserve"> 10 mg</w:t>
      </w:r>
    </w:p>
    <w:p w:rsidR="006C4501" w:rsidRPr="00DC55F9" w:rsidRDefault="006C4501" w:rsidP="001804F4">
      <w:pPr>
        <w:pStyle w:val="Paragrafoelenco"/>
        <w:numPr>
          <w:ilvl w:val="0"/>
          <w:numId w:val="23"/>
        </w:numPr>
        <w:spacing w:after="240"/>
        <w:jc w:val="both"/>
        <w:rPr>
          <w:rFonts w:ascii="Calibri" w:hAnsi="Calibri" w:cs="Calibri"/>
          <w:lang w:val="it-IT"/>
        </w:rPr>
      </w:pPr>
      <w:proofErr w:type="spellStart"/>
      <w:r w:rsidRPr="00DC55F9">
        <w:rPr>
          <w:rFonts w:ascii="Calibri" w:hAnsi="Calibri" w:cs="Calibri"/>
          <w:lang w:val="it-IT"/>
        </w:rPr>
        <w:t>esomeprazolo</w:t>
      </w:r>
      <w:proofErr w:type="spellEnd"/>
      <w:r w:rsidRPr="00DC55F9">
        <w:rPr>
          <w:rFonts w:ascii="Calibri" w:hAnsi="Calibri" w:cs="Calibri"/>
          <w:lang w:val="it-IT"/>
        </w:rPr>
        <w:t xml:space="preserve"> 20 mg</w:t>
      </w:r>
    </w:p>
    <w:p w:rsidR="006C4501" w:rsidRPr="00DC55F9" w:rsidRDefault="006C4501" w:rsidP="001804F4">
      <w:pPr>
        <w:pStyle w:val="Paragrafoelenco"/>
        <w:numPr>
          <w:ilvl w:val="0"/>
          <w:numId w:val="23"/>
        </w:numPr>
        <w:spacing w:after="240"/>
        <w:jc w:val="both"/>
        <w:rPr>
          <w:rFonts w:ascii="Calibri" w:hAnsi="Calibri" w:cs="Calibri"/>
          <w:lang w:val="it-IT"/>
        </w:rPr>
      </w:pPr>
      <w:proofErr w:type="spellStart"/>
      <w:r w:rsidRPr="00DC55F9">
        <w:rPr>
          <w:rFonts w:ascii="Calibri" w:hAnsi="Calibri" w:cs="Calibri"/>
          <w:lang w:val="it-IT"/>
        </w:rPr>
        <w:t>dexlansoprazolo</w:t>
      </w:r>
      <w:proofErr w:type="spellEnd"/>
      <w:r w:rsidRPr="00DC55F9">
        <w:rPr>
          <w:rFonts w:ascii="Calibri" w:hAnsi="Calibri" w:cs="Calibri"/>
          <w:lang w:val="it-IT"/>
        </w:rPr>
        <w:t xml:space="preserve"> 30 mg (come sopra)</w:t>
      </w:r>
    </w:p>
    <w:p w:rsidR="006C4501" w:rsidRDefault="006C4501" w:rsidP="002C1374">
      <w:pPr>
        <w:spacing w:after="240"/>
        <w:jc w:val="both"/>
        <w:rPr>
          <w:rFonts w:ascii="Calibri" w:hAnsi="Calibri" w:cs="Calibri"/>
          <w:color w:val="000000"/>
          <w:lang w:val="it-IT"/>
        </w:rPr>
      </w:pPr>
    </w:p>
    <w:p w:rsidR="006C4501" w:rsidRPr="009123A1" w:rsidRDefault="006C4501" w:rsidP="009123A1">
      <w:pPr>
        <w:spacing w:after="240"/>
        <w:jc w:val="both"/>
        <w:rPr>
          <w:rFonts w:ascii="Calibri" w:hAnsi="Calibri" w:cs="Calibri"/>
          <w:color w:val="000000"/>
          <w:lang w:val="it-IT"/>
        </w:rPr>
      </w:pPr>
      <w:r w:rsidRPr="009123A1">
        <w:rPr>
          <w:rFonts w:ascii="Calibri" w:hAnsi="Calibri" w:cs="Calibri"/>
          <w:color w:val="000000"/>
          <w:lang w:val="it-IT"/>
        </w:rPr>
        <w:t>I farmaci vanno assunto 20-30 min</w:t>
      </w:r>
      <w:r>
        <w:rPr>
          <w:rFonts w:ascii="Calibri" w:hAnsi="Calibri" w:cs="Calibri"/>
          <w:color w:val="000000"/>
          <w:lang w:val="it-IT"/>
        </w:rPr>
        <w:t>uti</w:t>
      </w:r>
      <w:r w:rsidRPr="009123A1">
        <w:rPr>
          <w:rFonts w:ascii="Calibri" w:hAnsi="Calibri" w:cs="Calibri"/>
          <w:color w:val="000000"/>
          <w:lang w:val="it-IT"/>
        </w:rPr>
        <w:t xml:space="preserve"> prima di colazione, che deve contenere un’adeguata quantità di proteine (come latte, cappuccino, biscotti, ecc), necessaria alla stimolazione della secrezione acida ed all’attivazione dei IPP, che sono pro-farmaci.</w:t>
      </w:r>
    </w:p>
    <w:p w:rsidR="006C4501" w:rsidRDefault="006C4501" w:rsidP="003A5EE1">
      <w:pPr>
        <w:spacing w:after="240"/>
        <w:jc w:val="both"/>
        <w:rPr>
          <w:rFonts w:ascii="Calibri" w:hAnsi="Calibri" w:cs="Calibri"/>
          <w:color w:val="000000"/>
          <w:lang w:val="it-IT"/>
        </w:rPr>
      </w:pPr>
      <w:r w:rsidRPr="002C1374">
        <w:rPr>
          <w:rFonts w:ascii="Calibri" w:hAnsi="Calibri" w:cs="Calibri"/>
          <w:color w:val="000000"/>
          <w:lang w:val="it-IT"/>
        </w:rPr>
        <w:t xml:space="preserve">Se non altrimenti specificato, le dosi degli IPP alle quali si fa riferimento nel documento </w:t>
      </w:r>
      <w:r>
        <w:rPr>
          <w:rFonts w:ascii="Calibri" w:hAnsi="Calibri" w:cs="Calibri"/>
          <w:color w:val="000000"/>
          <w:lang w:val="it-IT"/>
        </w:rPr>
        <w:t xml:space="preserve">sono sempre </w:t>
      </w:r>
      <w:r w:rsidRPr="002C1374">
        <w:rPr>
          <w:rFonts w:ascii="Calibri" w:hAnsi="Calibri" w:cs="Calibri"/>
          <w:color w:val="000000"/>
          <w:lang w:val="it-IT"/>
        </w:rPr>
        <w:t xml:space="preserve">“dosi standard”, somministrate una volta al giorno </w:t>
      </w:r>
      <w:r w:rsidRPr="003B2C96">
        <w:rPr>
          <w:rFonts w:ascii="Calibri" w:hAnsi="Calibri" w:cs="Calibri"/>
          <w:color w:val="000000"/>
          <w:lang w:val="it-IT"/>
        </w:rPr>
        <w:t>(preferibilmente</w:t>
      </w:r>
      <w:r w:rsidRPr="002C1374">
        <w:rPr>
          <w:rFonts w:ascii="Calibri" w:hAnsi="Calibri" w:cs="Calibri"/>
          <w:color w:val="000000"/>
          <w:lang w:val="it-IT"/>
        </w:rPr>
        <w:t xml:space="preserve"> prima di colazione)</w:t>
      </w:r>
    </w:p>
    <w:p w:rsidR="006C4501" w:rsidRDefault="006C4501" w:rsidP="003A5EE1">
      <w:pPr>
        <w:spacing w:after="240"/>
        <w:jc w:val="both"/>
        <w:rPr>
          <w:rFonts w:ascii="Calibri" w:hAnsi="Calibri" w:cs="Calibri"/>
          <w:color w:val="000000"/>
          <w:lang w:val="it-IT"/>
        </w:rPr>
      </w:pPr>
    </w:p>
    <w:p w:rsidR="006C4501" w:rsidRDefault="006C4501" w:rsidP="003A5EE1">
      <w:pPr>
        <w:spacing w:after="240"/>
        <w:jc w:val="both"/>
        <w:rPr>
          <w:rFonts w:ascii="Calibri" w:hAnsi="Calibri" w:cs="Calibri"/>
          <w:color w:val="000000"/>
          <w:lang w:val="it-IT"/>
        </w:rPr>
      </w:pPr>
    </w:p>
    <w:p w:rsidR="006C4501" w:rsidRPr="00BB3EB7" w:rsidRDefault="006C4501" w:rsidP="00E872C2">
      <w:pPr>
        <w:jc w:val="both"/>
        <w:rPr>
          <w:rFonts w:ascii="Calibri" w:hAnsi="Calibri" w:cs="Calibri"/>
          <w:b/>
          <w:bCs/>
          <w:color w:val="000000"/>
          <w:lang w:val="it-IT"/>
        </w:rPr>
      </w:pPr>
      <w:r w:rsidRPr="00BB3EB7">
        <w:rPr>
          <w:rFonts w:ascii="Calibri" w:hAnsi="Calibri" w:cs="Calibri"/>
          <w:b/>
          <w:bCs/>
          <w:color w:val="000000"/>
          <w:sz w:val="28"/>
          <w:szCs w:val="28"/>
          <w:lang w:val="it-IT"/>
        </w:rPr>
        <w:lastRenderedPageBreak/>
        <w:t xml:space="preserve">Uso degli Inibitori di Pompa Protonica nei Pazienti con Malattia da Reflusso </w:t>
      </w:r>
      <w:proofErr w:type="spellStart"/>
      <w:r w:rsidRPr="00BB3EB7">
        <w:rPr>
          <w:rFonts w:ascii="Calibri" w:hAnsi="Calibri" w:cs="Calibri"/>
          <w:b/>
          <w:bCs/>
          <w:color w:val="000000"/>
          <w:sz w:val="28"/>
          <w:szCs w:val="28"/>
          <w:lang w:val="it-IT"/>
        </w:rPr>
        <w:t>Gastroesofageo</w:t>
      </w:r>
      <w:proofErr w:type="spellEnd"/>
      <w:r w:rsidRPr="00BB3EB7">
        <w:rPr>
          <w:rFonts w:ascii="Calibri" w:hAnsi="Calibri" w:cs="Calibri"/>
          <w:b/>
          <w:bCs/>
          <w:color w:val="000000"/>
          <w:sz w:val="28"/>
          <w:szCs w:val="28"/>
          <w:lang w:val="it-IT"/>
        </w:rPr>
        <w:t xml:space="preserve"> (MRGE)</w:t>
      </w:r>
    </w:p>
    <w:p w:rsidR="006C4501" w:rsidRPr="00BB3EB7" w:rsidRDefault="006C4501" w:rsidP="00E872C2">
      <w:pPr>
        <w:spacing w:after="240"/>
        <w:jc w:val="both"/>
        <w:rPr>
          <w:rFonts w:ascii="Calibri" w:hAnsi="Calibri" w:cs="Calibri"/>
          <w:b/>
          <w:bCs/>
          <w:color w:val="000000"/>
          <w:lang w:val="it-IT"/>
        </w:rPr>
      </w:pP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Gli IPP rappresentano la terapia farmacologica di prima scelta nel trattamento della MRGE con sintomi tipici (pirosi e/o rigurgito). Il trattamento per 8</w:t>
      </w:r>
      <w:r>
        <w:rPr>
          <w:rFonts w:ascii="Calibri" w:hAnsi="Calibri" w:cs="Calibri"/>
          <w:color w:val="000000"/>
          <w:lang w:val="it-IT"/>
        </w:rPr>
        <w:t xml:space="preserve"> </w:t>
      </w:r>
      <w:r w:rsidRPr="00D10A3D">
        <w:rPr>
          <w:rFonts w:ascii="Calibri" w:hAnsi="Calibri" w:cs="Calibri"/>
          <w:color w:val="000000"/>
          <w:lang w:val="it-IT"/>
        </w:rPr>
        <w:t xml:space="preserve">settimane determina la scomparsa della sintomatologia nell’80% dei pazienti. </w:t>
      </w:r>
    </w:p>
    <w:p w:rsidR="006C4501" w:rsidRPr="007F478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Nei pazienti con MRGE non erosiva (la cosiddetta NERD degli </w:t>
      </w:r>
      <w:r>
        <w:rPr>
          <w:rFonts w:ascii="Calibri" w:hAnsi="Calibri" w:cs="Calibri"/>
          <w:color w:val="000000"/>
          <w:lang w:val="it-IT"/>
        </w:rPr>
        <w:t>autori</w:t>
      </w:r>
      <w:r w:rsidRPr="00D10A3D">
        <w:rPr>
          <w:rFonts w:ascii="Calibri" w:hAnsi="Calibri" w:cs="Calibri"/>
          <w:color w:val="000000"/>
          <w:lang w:val="it-IT"/>
        </w:rPr>
        <w:t xml:space="preserve"> anglosassoni) </w:t>
      </w:r>
      <w:r>
        <w:rPr>
          <w:rFonts w:ascii="Calibri" w:hAnsi="Calibri" w:cs="Calibri"/>
          <w:color w:val="000000"/>
          <w:lang w:val="it-IT"/>
        </w:rPr>
        <w:t>gli</w:t>
      </w:r>
      <w:r w:rsidRPr="00D10A3D">
        <w:rPr>
          <w:rFonts w:ascii="Calibri" w:hAnsi="Calibri" w:cs="Calibri"/>
          <w:color w:val="000000"/>
          <w:lang w:val="it-IT"/>
        </w:rPr>
        <w:t xml:space="preserve"> IPP per 8 settimane sono in genere sufficienti per determinare una scomparsa della sintomatologia. Tuttavia, in alcuni sottogruppi di pazienti (quelli con esofago ipersensibile all’acido o al reflusso non acido), gli IPP sono o parzialmente efficaci o inefficaci e necessitano spesso di </w:t>
      </w:r>
      <w:r w:rsidRPr="00D652A5">
        <w:rPr>
          <w:rFonts w:ascii="Calibri" w:hAnsi="Calibri" w:cs="Calibri"/>
          <w:color w:val="000000"/>
          <w:lang w:val="it-IT"/>
        </w:rPr>
        <w:t xml:space="preserve">terapie </w:t>
      </w:r>
      <w:proofErr w:type="spellStart"/>
      <w:r w:rsidRPr="00D652A5">
        <w:rPr>
          <w:rFonts w:ascii="Calibri" w:hAnsi="Calibri" w:cs="Calibri"/>
          <w:i/>
          <w:iCs/>
          <w:color w:val="000000"/>
          <w:lang w:val="it-IT"/>
        </w:rPr>
        <w:t>add-on</w:t>
      </w:r>
      <w:proofErr w:type="spellEnd"/>
      <w:r w:rsidRPr="00D652A5">
        <w:rPr>
          <w:rFonts w:ascii="Calibri" w:hAnsi="Calibri" w:cs="Calibri"/>
          <w:i/>
          <w:iCs/>
          <w:color w:val="000000"/>
          <w:lang w:val="it-IT"/>
        </w:rPr>
        <w:t xml:space="preserve"> </w:t>
      </w:r>
      <w:r w:rsidRPr="00D652A5">
        <w:rPr>
          <w:rFonts w:ascii="Calibri" w:hAnsi="Calibri" w:cs="Calibri"/>
          <w:color w:val="000000"/>
          <w:lang w:val="it-IT"/>
        </w:rPr>
        <w:t xml:space="preserve">(formulazioni contenenti alginati, </w:t>
      </w:r>
      <w:proofErr w:type="spellStart"/>
      <w:r w:rsidRPr="00D652A5">
        <w:rPr>
          <w:rFonts w:ascii="Calibri" w:hAnsi="Calibri" w:cs="Calibri"/>
          <w:color w:val="000000"/>
          <w:lang w:val="it-IT"/>
        </w:rPr>
        <w:t>procinetici</w:t>
      </w:r>
      <w:proofErr w:type="spellEnd"/>
      <w:r w:rsidRPr="00D652A5">
        <w:rPr>
          <w:rFonts w:ascii="Calibri" w:hAnsi="Calibri" w:cs="Calibri"/>
          <w:color w:val="000000"/>
          <w:lang w:val="it-IT"/>
        </w:rPr>
        <w:t xml:space="preserve">, o in casi particolari, </w:t>
      </w:r>
      <w:proofErr w:type="spellStart"/>
      <w:r w:rsidRPr="00D652A5">
        <w:rPr>
          <w:rFonts w:ascii="Calibri" w:hAnsi="Calibri" w:cs="Calibri"/>
          <w:color w:val="000000"/>
          <w:lang w:val="it-IT"/>
        </w:rPr>
        <w:t>baclofen</w:t>
      </w:r>
      <w:proofErr w:type="spellEnd"/>
      <w:r w:rsidRPr="00D652A5">
        <w:rPr>
          <w:rFonts w:ascii="Calibri" w:hAnsi="Calibri" w:cs="Calibri"/>
          <w:color w:val="000000"/>
          <w:lang w:val="it-IT"/>
        </w:rPr>
        <w:t>).</w:t>
      </w: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Il beneficio degli IPP nei pazienti con sintomi atipici (tosse, raucedine, bolo faringeo, asma, ecc.) non è costante. </w:t>
      </w:r>
      <w:r w:rsidRPr="00942AA6">
        <w:rPr>
          <w:rFonts w:ascii="Calibri" w:hAnsi="Calibri" w:cs="Calibri"/>
          <w:color w:val="000000"/>
          <w:lang w:val="it-IT"/>
        </w:rPr>
        <w:t xml:space="preserve">Mentre il dolore toracico, le aritmie, i disturbi del sonno e le manifestazioni orali legati alla MRGE rispondono adeguatamente all’inibizione della secrezione acida, la tosse cronica, la laringite da reflusso, l’asma e il cosiddetto globo faringeo sono particolarmente resistenti agli IPP (anche a dose doppia) </w:t>
      </w:r>
      <w:r w:rsidRPr="008A7484">
        <w:rPr>
          <w:rFonts w:ascii="Calibri" w:hAnsi="Calibri" w:cs="Calibri"/>
          <w:color w:val="000000"/>
          <w:lang w:val="it-IT"/>
        </w:rPr>
        <w:t xml:space="preserve">ed è spesso necessaria una terapia  di associazione con altri farmaci. </w:t>
      </w:r>
    </w:p>
    <w:p w:rsidR="006C4501"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Nei pazienti con esofagite di grado A o B (secondo la classificazione di Los Angeles) la terapia con IPP per 8 settimane è sufficiente a determinare una cicatrizzazione delle lesioni esofagee. In presenza di esofagite C o D la terapia con doppia dose di IPP per 8 settimane garantisce un </w:t>
      </w:r>
      <w:r>
        <w:rPr>
          <w:rFonts w:ascii="Calibri" w:hAnsi="Calibri" w:cs="Calibri"/>
          <w:color w:val="000000"/>
          <w:lang w:val="it-IT"/>
        </w:rPr>
        <w:t xml:space="preserve">migliore </w:t>
      </w:r>
      <w:r w:rsidRPr="00D10A3D">
        <w:rPr>
          <w:rFonts w:ascii="Calibri" w:hAnsi="Calibri" w:cs="Calibri"/>
          <w:color w:val="000000"/>
          <w:lang w:val="it-IT"/>
        </w:rPr>
        <w:t>guadagno terapeutico.</w:t>
      </w:r>
      <w:r>
        <w:rPr>
          <w:rFonts w:ascii="Calibri" w:hAnsi="Calibri" w:cs="Calibri"/>
          <w:color w:val="000000"/>
          <w:lang w:val="it-IT"/>
        </w:rPr>
        <w:t xml:space="preserve"> </w:t>
      </w: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Nei </w:t>
      </w:r>
      <w:r>
        <w:rPr>
          <w:rFonts w:ascii="Calibri" w:hAnsi="Calibri" w:cs="Calibri"/>
          <w:color w:val="000000"/>
          <w:lang w:val="it-IT"/>
        </w:rPr>
        <w:t xml:space="preserve">pazienti con esofago di </w:t>
      </w:r>
      <w:proofErr w:type="spellStart"/>
      <w:r>
        <w:rPr>
          <w:rFonts w:ascii="Calibri" w:hAnsi="Calibri" w:cs="Calibri"/>
          <w:color w:val="000000"/>
          <w:lang w:val="it-IT"/>
        </w:rPr>
        <w:t>Barrett</w:t>
      </w:r>
      <w:proofErr w:type="spellEnd"/>
      <w:r w:rsidRPr="00D10A3D">
        <w:rPr>
          <w:rFonts w:ascii="Calibri" w:hAnsi="Calibri" w:cs="Calibri"/>
          <w:color w:val="000000"/>
          <w:lang w:val="it-IT"/>
        </w:rPr>
        <w:t xml:space="preserve"> documentato </w:t>
      </w:r>
      <w:proofErr w:type="spellStart"/>
      <w:r w:rsidRPr="00D10A3D">
        <w:rPr>
          <w:rFonts w:ascii="Calibri" w:hAnsi="Calibri" w:cs="Calibri"/>
          <w:color w:val="000000"/>
          <w:lang w:val="it-IT"/>
        </w:rPr>
        <w:t>istologicamente</w:t>
      </w:r>
      <w:proofErr w:type="spellEnd"/>
      <w:r w:rsidRPr="00D10A3D">
        <w:rPr>
          <w:rFonts w:ascii="Calibri" w:hAnsi="Calibri" w:cs="Calibri"/>
          <w:color w:val="000000"/>
          <w:lang w:val="it-IT"/>
        </w:rPr>
        <w:t xml:space="preserve">, la terapia con IPP deve essere personalizzata in modo da ottenere un’inibizione intensa e prolungata della secrezione acida </w:t>
      </w:r>
      <w:r>
        <w:rPr>
          <w:rFonts w:ascii="Calibri" w:hAnsi="Calibri" w:cs="Calibri"/>
          <w:color w:val="000000"/>
          <w:lang w:val="it-IT"/>
        </w:rPr>
        <w:t>e consentire un effetto di chemi</w:t>
      </w:r>
      <w:r w:rsidRPr="00D10A3D">
        <w:rPr>
          <w:rFonts w:ascii="Calibri" w:hAnsi="Calibri" w:cs="Calibri"/>
          <w:color w:val="000000"/>
          <w:lang w:val="it-IT"/>
        </w:rPr>
        <w:t>o</w:t>
      </w:r>
      <w:r>
        <w:rPr>
          <w:rFonts w:ascii="Calibri" w:hAnsi="Calibri" w:cs="Calibri"/>
          <w:color w:val="000000"/>
          <w:lang w:val="it-IT"/>
        </w:rPr>
        <w:t>-</w:t>
      </w:r>
      <w:r w:rsidRPr="00D10A3D">
        <w:rPr>
          <w:rFonts w:ascii="Calibri" w:hAnsi="Calibri" w:cs="Calibri"/>
          <w:color w:val="000000"/>
          <w:lang w:val="it-IT"/>
        </w:rPr>
        <w:t>prevenzione nei riguardi del rischio neoplastico.</w:t>
      </w: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Poiché la MRGE è una malattia cronica, recidivante, un trattamento a lungo termine (continuo, intermittente o al bisogno in base alle caratteristiche cliniche del paziente) si rende spesso necessario. </w:t>
      </w:r>
    </w:p>
    <w:p w:rsidR="006C4501" w:rsidRPr="00BB3EB7" w:rsidRDefault="006C4501" w:rsidP="001804F4">
      <w:pPr>
        <w:rPr>
          <w:rFonts w:ascii="Calibri" w:hAnsi="Calibri" w:cs="Calibri"/>
          <w:b/>
          <w:bCs/>
          <w:color w:val="000000"/>
          <w:lang w:val="it-IT"/>
        </w:rPr>
      </w:pPr>
      <w:r>
        <w:rPr>
          <w:rFonts w:ascii="Calibri" w:hAnsi="Calibri" w:cs="Calibri"/>
          <w:color w:val="000000"/>
          <w:lang w:val="it-IT"/>
        </w:rPr>
        <w:br w:type="page"/>
      </w:r>
      <w:r w:rsidRPr="00BB3EB7">
        <w:rPr>
          <w:rFonts w:ascii="Calibri" w:hAnsi="Calibri" w:cs="Calibri"/>
          <w:b/>
          <w:bCs/>
          <w:color w:val="000000"/>
          <w:sz w:val="28"/>
          <w:szCs w:val="28"/>
          <w:lang w:val="it-IT"/>
        </w:rPr>
        <w:lastRenderedPageBreak/>
        <w:t xml:space="preserve">Uso degli Inibitori di Pompa Protonica nell’Eradicazione dell’Infezione da </w:t>
      </w:r>
      <w:proofErr w:type="spellStart"/>
      <w:r w:rsidRPr="00BB3EB7">
        <w:rPr>
          <w:rFonts w:ascii="Calibri" w:hAnsi="Calibri" w:cs="Calibri"/>
          <w:b/>
          <w:bCs/>
          <w:i/>
          <w:iCs/>
          <w:color w:val="000000"/>
          <w:sz w:val="28"/>
          <w:szCs w:val="28"/>
          <w:lang w:val="it-IT"/>
        </w:rPr>
        <w:t>Helicobacter</w:t>
      </w:r>
      <w:proofErr w:type="spellEnd"/>
      <w:r w:rsidRPr="00BB3EB7">
        <w:rPr>
          <w:rFonts w:ascii="Calibri" w:hAnsi="Calibri" w:cs="Calibri"/>
          <w:b/>
          <w:bCs/>
          <w:i/>
          <w:iCs/>
          <w:color w:val="000000"/>
          <w:sz w:val="28"/>
          <w:szCs w:val="28"/>
          <w:lang w:val="it-IT"/>
        </w:rPr>
        <w:t xml:space="preserve"> </w:t>
      </w:r>
      <w:proofErr w:type="spellStart"/>
      <w:r w:rsidRPr="00BB3EB7">
        <w:rPr>
          <w:rFonts w:ascii="Calibri" w:hAnsi="Calibri" w:cs="Calibri"/>
          <w:b/>
          <w:bCs/>
          <w:i/>
          <w:iCs/>
          <w:color w:val="000000"/>
          <w:sz w:val="28"/>
          <w:szCs w:val="28"/>
          <w:lang w:val="it-IT"/>
        </w:rPr>
        <w:t>pylori</w:t>
      </w:r>
      <w:proofErr w:type="spellEnd"/>
      <w:r w:rsidRPr="00BB3EB7">
        <w:rPr>
          <w:rFonts w:ascii="Calibri" w:hAnsi="Calibri" w:cs="Calibri"/>
          <w:b/>
          <w:bCs/>
          <w:i/>
          <w:iCs/>
          <w:color w:val="000000"/>
          <w:sz w:val="28"/>
          <w:szCs w:val="28"/>
          <w:lang w:val="it-IT"/>
        </w:rPr>
        <w:t xml:space="preserve"> (H. </w:t>
      </w:r>
      <w:proofErr w:type="spellStart"/>
      <w:r w:rsidRPr="00BB3EB7">
        <w:rPr>
          <w:rFonts w:ascii="Calibri" w:hAnsi="Calibri" w:cs="Calibri"/>
          <w:b/>
          <w:bCs/>
          <w:i/>
          <w:iCs/>
          <w:color w:val="000000"/>
          <w:sz w:val="28"/>
          <w:szCs w:val="28"/>
          <w:lang w:val="it-IT"/>
        </w:rPr>
        <w:t>pylori</w:t>
      </w:r>
      <w:proofErr w:type="spellEnd"/>
      <w:r w:rsidRPr="00BB3EB7">
        <w:rPr>
          <w:rFonts w:ascii="Calibri" w:hAnsi="Calibri" w:cs="Calibri"/>
          <w:b/>
          <w:bCs/>
          <w:i/>
          <w:iCs/>
          <w:color w:val="000000"/>
          <w:sz w:val="28"/>
          <w:szCs w:val="28"/>
          <w:lang w:val="it-IT"/>
        </w:rPr>
        <w:t xml:space="preserve">) </w:t>
      </w:r>
      <w:r w:rsidRPr="00BB3EB7">
        <w:rPr>
          <w:rFonts w:ascii="Calibri" w:hAnsi="Calibri" w:cs="Calibri"/>
          <w:b/>
          <w:bCs/>
          <w:color w:val="000000"/>
          <w:sz w:val="28"/>
          <w:szCs w:val="28"/>
          <w:lang w:val="it-IT"/>
        </w:rPr>
        <w:t>e nella Terapia dell’Ulcera Peptica</w:t>
      </w:r>
    </w:p>
    <w:p w:rsidR="006C4501" w:rsidRPr="00123A10" w:rsidRDefault="006C4501" w:rsidP="001804F4">
      <w:pPr>
        <w:spacing w:after="240"/>
        <w:jc w:val="both"/>
        <w:rPr>
          <w:rFonts w:ascii="Calibri" w:hAnsi="Calibri" w:cs="Calibri"/>
          <w:color w:val="000000"/>
          <w:lang w:val="it-IT"/>
        </w:rPr>
      </w:pP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Gli inibitori di pompa protonica rappresentano un componente fondamentale di qualunque  tipo di terapia </w:t>
      </w:r>
      <w:proofErr w:type="spellStart"/>
      <w:r w:rsidRPr="00D10A3D">
        <w:rPr>
          <w:rFonts w:ascii="Calibri" w:hAnsi="Calibri" w:cs="Calibri"/>
          <w:color w:val="000000"/>
          <w:lang w:val="it-IT"/>
        </w:rPr>
        <w:t>eradicante</w:t>
      </w:r>
      <w:proofErr w:type="spellEnd"/>
      <w:r w:rsidRPr="00D10A3D">
        <w:rPr>
          <w:rFonts w:ascii="Calibri" w:hAnsi="Calibri" w:cs="Calibri"/>
          <w:color w:val="000000"/>
          <w:lang w:val="it-IT"/>
        </w:rPr>
        <w:t xml:space="preserve"> (triplice, quadruplice, concomitante, sequenziale, etc.), utilizzata nella pratica clinica. I valori di pH </w:t>
      </w:r>
      <w:proofErr w:type="spellStart"/>
      <w:r w:rsidRPr="00D10A3D">
        <w:rPr>
          <w:rFonts w:ascii="Calibri" w:hAnsi="Calibri" w:cs="Calibri"/>
          <w:color w:val="000000"/>
          <w:lang w:val="it-IT"/>
        </w:rPr>
        <w:t>intragastrico</w:t>
      </w:r>
      <w:proofErr w:type="spellEnd"/>
      <w:r w:rsidRPr="00D10A3D">
        <w:rPr>
          <w:rFonts w:ascii="Calibri" w:hAnsi="Calibri" w:cs="Calibri"/>
          <w:color w:val="000000"/>
          <w:lang w:val="it-IT"/>
        </w:rPr>
        <w:t xml:space="preserve"> notturno, la durata dell’inibizione secretoria e la presenza di NAB (</w:t>
      </w:r>
      <w:proofErr w:type="spellStart"/>
      <w:r w:rsidRPr="00D10A3D">
        <w:rPr>
          <w:rFonts w:ascii="Calibri" w:hAnsi="Calibri" w:cs="Calibri"/>
          <w:color w:val="000000"/>
          <w:lang w:val="it-IT"/>
        </w:rPr>
        <w:t>Nocturnal</w:t>
      </w:r>
      <w:proofErr w:type="spellEnd"/>
      <w:r w:rsidRPr="00D10A3D">
        <w:rPr>
          <w:rFonts w:ascii="Calibri" w:hAnsi="Calibri" w:cs="Calibri"/>
          <w:color w:val="000000"/>
          <w:lang w:val="it-IT"/>
        </w:rPr>
        <w:t xml:space="preserve"> Acid </w:t>
      </w:r>
      <w:proofErr w:type="spellStart"/>
      <w:r w:rsidRPr="00D10A3D">
        <w:rPr>
          <w:rFonts w:ascii="Calibri" w:hAnsi="Calibri" w:cs="Calibri"/>
          <w:color w:val="000000"/>
          <w:lang w:val="it-IT"/>
        </w:rPr>
        <w:t>Breakthrough</w:t>
      </w:r>
      <w:proofErr w:type="spellEnd"/>
      <w:r w:rsidRPr="00D10A3D">
        <w:rPr>
          <w:rFonts w:ascii="Calibri" w:hAnsi="Calibri" w:cs="Calibri"/>
          <w:color w:val="000000"/>
          <w:lang w:val="it-IT"/>
        </w:rPr>
        <w:t xml:space="preserve">) influenzano direttamente l’efficacia dei regimi </w:t>
      </w:r>
      <w:proofErr w:type="spellStart"/>
      <w:r w:rsidRPr="00D10A3D">
        <w:rPr>
          <w:rFonts w:ascii="Calibri" w:hAnsi="Calibri" w:cs="Calibri"/>
          <w:color w:val="000000"/>
          <w:lang w:val="it-IT"/>
        </w:rPr>
        <w:t>eradicanti</w:t>
      </w:r>
      <w:proofErr w:type="spellEnd"/>
      <w:r w:rsidRPr="00D10A3D">
        <w:rPr>
          <w:rFonts w:ascii="Calibri" w:hAnsi="Calibri" w:cs="Calibri"/>
          <w:color w:val="000000"/>
          <w:lang w:val="it-IT"/>
        </w:rPr>
        <w:t xml:space="preserve">. Alcuni studi suggeriscono che – grazie alle </w:t>
      </w:r>
      <w:r w:rsidRPr="00E729C7">
        <w:rPr>
          <w:rFonts w:ascii="Calibri" w:hAnsi="Calibri" w:cs="Calibri"/>
          <w:color w:val="000000"/>
          <w:lang w:val="it-IT"/>
        </w:rPr>
        <w:t xml:space="preserve">peculiarità del loro catabolismo - </w:t>
      </w:r>
      <w:r w:rsidRPr="008A7484">
        <w:rPr>
          <w:rFonts w:ascii="Calibri" w:hAnsi="Calibri" w:cs="Calibri"/>
          <w:color w:val="000000"/>
          <w:lang w:val="it-IT"/>
        </w:rPr>
        <w:t xml:space="preserve">il </w:t>
      </w:r>
      <w:proofErr w:type="spellStart"/>
      <w:r w:rsidRPr="008A7484">
        <w:rPr>
          <w:rFonts w:ascii="Calibri" w:hAnsi="Calibri" w:cs="Calibri"/>
          <w:color w:val="000000"/>
          <w:lang w:val="it-IT"/>
        </w:rPr>
        <w:t>rabeprazolo</w:t>
      </w:r>
      <w:proofErr w:type="spellEnd"/>
      <w:r w:rsidRPr="008A7484">
        <w:rPr>
          <w:rFonts w:ascii="Calibri" w:hAnsi="Calibri" w:cs="Calibri"/>
          <w:color w:val="000000"/>
          <w:lang w:val="it-IT"/>
        </w:rPr>
        <w:t xml:space="preserve"> e l’</w:t>
      </w:r>
      <w:proofErr w:type="spellStart"/>
      <w:r w:rsidRPr="008A7484">
        <w:rPr>
          <w:rFonts w:ascii="Calibri" w:hAnsi="Calibri" w:cs="Calibri"/>
          <w:color w:val="000000"/>
          <w:lang w:val="it-IT"/>
        </w:rPr>
        <w:t>esomeprazolo</w:t>
      </w:r>
      <w:proofErr w:type="spellEnd"/>
      <w:r w:rsidRPr="00E729C7">
        <w:rPr>
          <w:rFonts w:ascii="Calibri" w:hAnsi="Calibri" w:cs="Calibri"/>
          <w:color w:val="000000"/>
          <w:lang w:val="it-IT"/>
        </w:rPr>
        <w:t xml:space="preserve"> </w:t>
      </w:r>
      <w:r w:rsidRPr="00D652A5">
        <w:rPr>
          <w:rFonts w:ascii="Calibri" w:hAnsi="Calibri" w:cs="Calibri"/>
          <w:color w:val="000000"/>
          <w:lang w:val="it-IT"/>
        </w:rPr>
        <w:t>possono determinare</w:t>
      </w:r>
      <w:r w:rsidRPr="00432825">
        <w:rPr>
          <w:rFonts w:ascii="Calibri" w:hAnsi="Calibri" w:cs="Calibri"/>
          <w:color w:val="000000"/>
          <w:lang w:val="it-IT"/>
        </w:rPr>
        <w:t xml:space="preserve"> </w:t>
      </w:r>
      <w:r w:rsidRPr="00E729C7">
        <w:rPr>
          <w:rFonts w:ascii="Calibri" w:hAnsi="Calibri" w:cs="Calibri"/>
          <w:color w:val="000000"/>
          <w:lang w:val="it-IT"/>
        </w:rPr>
        <w:t xml:space="preserve">una maggiore efficacia delle terapie </w:t>
      </w:r>
      <w:proofErr w:type="spellStart"/>
      <w:r w:rsidRPr="00E729C7">
        <w:rPr>
          <w:rFonts w:ascii="Calibri" w:hAnsi="Calibri" w:cs="Calibri"/>
          <w:color w:val="000000"/>
          <w:lang w:val="it-IT"/>
        </w:rPr>
        <w:t>eradicanti</w:t>
      </w:r>
      <w:proofErr w:type="spellEnd"/>
      <w:r w:rsidRPr="00E729C7">
        <w:rPr>
          <w:rFonts w:ascii="Calibri" w:hAnsi="Calibri" w:cs="Calibri"/>
          <w:color w:val="000000"/>
          <w:lang w:val="it-IT"/>
        </w:rPr>
        <w:t>.</w:t>
      </w:r>
    </w:p>
    <w:p w:rsidR="006C4501"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L’eradicazione dell’infezione da </w:t>
      </w:r>
      <w:r w:rsidRPr="00D10A3D">
        <w:rPr>
          <w:rFonts w:ascii="Calibri" w:hAnsi="Calibri" w:cs="Calibri"/>
          <w:i/>
          <w:iCs/>
          <w:color w:val="000000"/>
          <w:lang w:val="it-IT"/>
        </w:rPr>
        <w:t>H</w:t>
      </w:r>
      <w:r>
        <w:rPr>
          <w:rFonts w:ascii="Calibri" w:hAnsi="Calibri" w:cs="Calibri"/>
          <w:i/>
          <w:iCs/>
          <w:color w:val="000000"/>
          <w:lang w:val="it-IT"/>
        </w:rPr>
        <w:t xml:space="preserve">. </w:t>
      </w:r>
      <w:proofErr w:type="spellStart"/>
      <w:r>
        <w:rPr>
          <w:rFonts w:ascii="Calibri" w:hAnsi="Calibri" w:cs="Calibri"/>
          <w:i/>
          <w:iCs/>
          <w:color w:val="000000"/>
          <w:lang w:val="it-IT"/>
        </w:rPr>
        <w:t>p</w:t>
      </w:r>
      <w:r w:rsidRPr="00D10A3D">
        <w:rPr>
          <w:rFonts w:ascii="Calibri" w:hAnsi="Calibri" w:cs="Calibri"/>
          <w:i/>
          <w:iCs/>
          <w:color w:val="000000"/>
          <w:lang w:val="it-IT"/>
        </w:rPr>
        <w:t>ylori</w:t>
      </w:r>
      <w:proofErr w:type="spellEnd"/>
      <w:r w:rsidRPr="00D10A3D">
        <w:rPr>
          <w:rFonts w:ascii="Calibri" w:hAnsi="Calibri" w:cs="Calibri"/>
          <w:color w:val="000000"/>
          <w:lang w:val="it-IT"/>
        </w:rPr>
        <w:t xml:space="preserve"> determina </w:t>
      </w:r>
      <w:r w:rsidRPr="005566B4">
        <w:rPr>
          <w:rFonts w:ascii="Calibri" w:hAnsi="Calibri" w:cs="Calibri"/>
          <w:color w:val="000000"/>
          <w:lang w:val="it-IT"/>
        </w:rPr>
        <w:t xml:space="preserve">quasi sempre la guarigione dell’ulcera peptica (gastrica e duodenale), per cui non è necessaria </w:t>
      </w:r>
      <w:r>
        <w:rPr>
          <w:rFonts w:ascii="Calibri" w:hAnsi="Calibri" w:cs="Calibri"/>
          <w:color w:val="000000"/>
          <w:lang w:val="it-IT"/>
        </w:rPr>
        <w:t xml:space="preserve">alcuna </w:t>
      </w:r>
      <w:r w:rsidRPr="005566B4">
        <w:rPr>
          <w:rFonts w:ascii="Calibri" w:hAnsi="Calibri" w:cs="Calibri"/>
          <w:color w:val="000000"/>
          <w:lang w:val="it-IT"/>
        </w:rPr>
        <w:t>terapia di mantenimento</w:t>
      </w:r>
      <w:r>
        <w:rPr>
          <w:rFonts w:ascii="Calibri" w:hAnsi="Calibri" w:cs="Calibri"/>
          <w:color w:val="000000"/>
          <w:lang w:val="it-IT"/>
        </w:rPr>
        <w:t xml:space="preserve"> </w:t>
      </w:r>
      <w:r w:rsidRPr="005566B4">
        <w:rPr>
          <w:rFonts w:ascii="Calibri" w:hAnsi="Calibri" w:cs="Calibri"/>
          <w:color w:val="000000"/>
          <w:lang w:val="it-IT"/>
        </w:rPr>
        <w:t>con IPP.</w:t>
      </w:r>
      <w:r w:rsidRPr="00D10A3D">
        <w:rPr>
          <w:rFonts w:ascii="Calibri" w:hAnsi="Calibri" w:cs="Calibri"/>
          <w:color w:val="000000"/>
          <w:lang w:val="it-IT"/>
        </w:rPr>
        <w:t xml:space="preserve"> </w:t>
      </w: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Esiste tuttavia un’ulcera peptica idiopatica </w:t>
      </w:r>
      <w:r w:rsidRPr="00E872C2">
        <w:rPr>
          <w:rFonts w:ascii="Calibri" w:hAnsi="Calibri" w:cs="Calibri"/>
          <w:lang w:val="it-IT"/>
        </w:rPr>
        <w:t>(</w:t>
      </w:r>
      <w:r w:rsidRPr="00E872C2">
        <w:rPr>
          <w:rFonts w:ascii="Calibri" w:hAnsi="Calibri" w:cs="Calibri"/>
          <w:i/>
          <w:iCs/>
          <w:lang w:val="it-IT"/>
        </w:rPr>
        <w:t xml:space="preserve">H. </w:t>
      </w:r>
      <w:proofErr w:type="spellStart"/>
      <w:r w:rsidRPr="00E872C2">
        <w:rPr>
          <w:rFonts w:ascii="Calibri" w:hAnsi="Calibri" w:cs="Calibri"/>
          <w:i/>
          <w:iCs/>
          <w:lang w:val="it-IT"/>
        </w:rPr>
        <w:t>pylori</w:t>
      </w:r>
      <w:r w:rsidRPr="00E872C2">
        <w:rPr>
          <w:rFonts w:ascii="Calibri" w:hAnsi="Calibri" w:cs="Calibri"/>
          <w:lang w:val="it-IT"/>
        </w:rPr>
        <w:t>-negativa</w:t>
      </w:r>
      <w:proofErr w:type="spellEnd"/>
      <w:r w:rsidRPr="00E872C2">
        <w:rPr>
          <w:rFonts w:ascii="Calibri" w:hAnsi="Calibri" w:cs="Calibri"/>
          <w:lang w:val="it-IT"/>
        </w:rPr>
        <w:t>, in pazienti che non assumono FANS)</w:t>
      </w:r>
      <w:r w:rsidRPr="00D10A3D">
        <w:rPr>
          <w:rFonts w:ascii="Calibri" w:hAnsi="Calibri" w:cs="Calibri"/>
          <w:color w:val="000000"/>
          <w:lang w:val="it-IT"/>
        </w:rPr>
        <w:t>, che necessita di una terapia a lungo termine con dosi standard di IPP.</w:t>
      </w:r>
    </w:p>
    <w:p w:rsidR="006C4501" w:rsidRPr="00D10A3D" w:rsidRDefault="006C4501" w:rsidP="001804F4">
      <w:pPr>
        <w:spacing w:after="240"/>
        <w:rPr>
          <w:rFonts w:ascii="Calibri" w:hAnsi="Calibri" w:cs="Calibri"/>
          <w:color w:val="000000"/>
          <w:sz w:val="28"/>
          <w:szCs w:val="28"/>
          <w:lang w:val="it-IT"/>
        </w:rPr>
      </w:pPr>
    </w:p>
    <w:p w:rsidR="006C4501" w:rsidRPr="00BB3EB7" w:rsidRDefault="006C4501" w:rsidP="001804F4">
      <w:pPr>
        <w:spacing w:after="240"/>
        <w:rPr>
          <w:rFonts w:ascii="Calibri" w:hAnsi="Calibri" w:cs="Calibri"/>
          <w:b/>
          <w:bCs/>
          <w:color w:val="000000"/>
          <w:sz w:val="28"/>
          <w:szCs w:val="28"/>
          <w:lang w:val="it-IT"/>
        </w:rPr>
      </w:pPr>
      <w:r w:rsidRPr="00BB3EB7">
        <w:rPr>
          <w:rFonts w:ascii="Calibri" w:hAnsi="Calibri" w:cs="Calibri"/>
          <w:b/>
          <w:bCs/>
          <w:color w:val="000000"/>
          <w:sz w:val="28"/>
          <w:szCs w:val="28"/>
          <w:lang w:val="it-IT"/>
        </w:rPr>
        <w:t>Uso degli Inibitori di Pompa Protonica nei Pazienti con Dispepsia</w:t>
      </w:r>
    </w:p>
    <w:p w:rsidR="006C4501" w:rsidRPr="00D10A3D"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Nei pazienti giovani </w:t>
      </w:r>
      <w:r w:rsidRPr="008A7484">
        <w:rPr>
          <w:rFonts w:ascii="Calibri" w:hAnsi="Calibri" w:cs="Calibri"/>
          <w:color w:val="000000"/>
          <w:lang w:val="it-IT"/>
        </w:rPr>
        <w:t>(</w:t>
      </w:r>
      <w:r w:rsidRPr="005566B4">
        <w:rPr>
          <w:rFonts w:ascii="Calibri" w:hAnsi="Calibri" w:cs="Calibri"/>
          <w:color w:val="000000"/>
          <w:lang w:val="it-IT"/>
        </w:rPr>
        <w:t>&lt;45</w:t>
      </w:r>
      <w:r>
        <w:rPr>
          <w:rFonts w:ascii="Calibri" w:hAnsi="Calibri" w:cs="Calibri"/>
          <w:color w:val="000000"/>
          <w:lang w:val="it-IT"/>
        </w:rPr>
        <w:t xml:space="preserve"> </w:t>
      </w:r>
      <w:r w:rsidRPr="008A7484">
        <w:rPr>
          <w:rFonts w:ascii="Calibri" w:hAnsi="Calibri" w:cs="Calibri"/>
          <w:color w:val="000000"/>
          <w:lang w:val="it-IT"/>
        </w:rPr>
        <w:t>anni)</w:t>
      </w:r>
      <w:r w:rsidRPr="00D10A3D">
        <w:rPr>
          <w:rFonts w:ascii="Calibri" w:hAnsi="Calibri" w:cs="Calibri"/>
          <w:color w:val="000000"/>
          <w:lang w:val="it-IT"/>
        </w:rPr>
        <w:t xml:space="preserve"> e senza sintomi di allarme, la dispepsia </w:t>
      </w:r>
      <w:r>
        <w:rPr>
          <w:rFonts w:ascii="Calibri" w:hAnsi="Calibri" w:cs="Calibri"/>
          <w:color w:val="000000"/>
          <w:lang w:val="it-IT"/>
        </w:rPr>
        <w:t>viene</w:t>
      </w:r>
      <w:r w:rsidRPr="00D10A3D">
        <w:rPr>
          <w:rFonts w:ascii="Calibri" w:hAnsi="Calibri" w:cs="Calibri"/>
          <w:color w:val="000000"/>
          <w:lang w:val="it-IT"/>
        </w:rPr>
        <w:t xml:space="preserve"> generalmente tratta</w:t>
      </w:r>
      <w:r>
        <w:rPr>
          <w:rFonts w:ascii="Calibri" w:hAnsi="Calibri" w:cs="Calibri"/>
          <w:color w:val="000000"/>
          <w:lang w:val="it-IT"/>
        </w:rPr>
        <w:t>ta</w:t>
      </w:r>
      <w:r w:rsidRPr="00D10A3D">
        <w:rPr>
          <w:rFonts w:ascii="Calibri" w:hAnsi="Calibri" w:cs="Calibri"/>
          <w:color w:val="000000"/>
          <w:lang w:val="it-IT"/>
        </w:rPr>
        <w:t xml:space="preserve"> empiricamente con </w:t>
      </w:r>
      <w:r w:rsidRPr="008A7484">
        <w:rPr>
          <w:rFonts w:ascii="Calibri" w:hAnsi="Calibri" w:cs="Calibri"/>
          <w:lang w:val="it-IT"/>
        </w:rPr>
        <w:t>la ricerca</w:t>
      </w:r>
      <w:r>
        <w:rPr>
          <w:rFonts w:ascii="Calibri" w:hAnsi="Calibri" w:cs="Calibri"/>
          <w:lang w:val="it-IT"/>
        </w:rPr>
        <w:t xml:space="preserve"> dell’infezione da </w:t>
      </w:r>
      <w:r w:rsidRPr="005566B4">
        <w:rPr>
          <w:rFonts w:ascii="Calibri" w:hAnsi="Calibri" w:cs="Calibri"/>
          <w:i/>
          <w:iCs/>
          <w:lang w:val="it-IT"/>
        </w:rPr>
        <w:t xml:space="preserve">H. </w:t>
      </w:r>
      <w:proofErr w:type="spellStart"/>
      <w:r w:rsidRPr="005566B4">
        <w:rPr>
          <w:rFonts w:ascii="Calibri" w:hAnsi="Calibri" w:cs="Calibri"/>
          <w:i/>
          <w:iCs/>
          <w:lang w:val="it-IT"/>
        </w:rPr>
        <w:t>pylori</w:t>
      </w:r>
      <w:proofErr w:type="spellEnd"/>
      <w:r w:rsidRPr="008A7484">
        <w:rPr>
          <w:rFonts w:ascii="Calibri" w:hAnsi="Calibri" w:cs="Calibri"/>
          <w:lang w:val="it-IT"/>
        </w:rPr>
        <w:t xml:space="preserve"> tramite test non invasivi </w:t>
      </w:r>
      <w:r w:rsidRPr="006D18FD">
        <w:rPr>
          <w:rFonts w:ascii="Calibri" w:hAnsi="Calibri" w:cs="Calibri"/>
          <w:lang w:val="it-IT"/>
        </w:rPr>
        <w:t>(</w:t>
      </w:r>
      <w:r w:rsidRPr="005566B4">
        <w:rPr>
          <w:rFonts w:ascii="Calibri" w:hAnsi="Calibri" w:cs="Calibri"/>
          <w:lang w:val="it-IT"/>
        </w:rPr>
        <w:t>UBT o test antigeni fecali)</w:t>
      </w:r>
      <w:r w:rsidRPr="006D18FD">
        <w:rPr>
          <w:rFonts w:ascii="Calibri" w:hAnsi="Calibri" w:cs="Calibri"/>
          <w:lang w:val="it-IT"/>
        </w:rPr>
        <w:t xml:space="preserve"> </w:t>
      </w:r>
      <w:r w:rsidRPr="005566B4">
        <w:rPr>
          <w:rFonts w:ascii="Calibri" w:hAnsi="Calibri" w:cs="Calibri"/>
          <w:color w:val="000000"/>
          <w:lang w:val="it-IT"/>
        </w:rPr>
        <w:t>e la conseguente terapia</w:t>
      </w:r>
      <w:r>
        <w:rPr>
          <w:rFonts w:ascii="Calibri" w:hAnsi="Calibri" w:cs="Calibri"/>
          <w:color w:val="000000"/>
          <w:lang w:val="it-IT"/>
        </w:rPr>
        <w:t xml:space="preserve"> </w:t>
      </w:r>
      <w:proofErr w:type="spellStart"/>
      <w:r>
        <w:rPr>
          <w:rFonts w:ascii="Calibri" w:hAnsi="Calibri" w:cs="Calibri"/>
          <w:color w:val="000000"/>
          <w:lang w:val="it-IT"/>
        </w:rPr>
        <w:t>eradicante</w:t>
      </w:r>
      <w:proofErr w:type="spellEnd"/>
      <w:r>
        <w:rPr>
          <w:rFonts w:ascii="Calibri" w:hAnsi="Calibri" w:cs="Calibri"/>
          <w:color w:val="000000"/>
          <w:lang w:val="it-IT"/>
        </w:rPr>
        <w:t xml:space="preserve"> che </w:t>
      </w:r>
      <w:r w:rsidRPr="00D10A3D">
        <w:rPr>
          <w:rFonts w:ascii="Calibri" w:hAnsi="Calibri" w:cs="Calibri"/>
          <w:color w:val="000000"/>
          <w:lang w:val="it-IT"/>
        </w:rPr>
        <w:t xml:space="preserve">prevede regimi contenenti un IPP. </w:t>
      </w:r>
    </w:p>
    <w:p w:rsidR="006C4501" w:rsidRDefault="006C4501" w:rsidP="00B25BC1">
      <w:pPr>
        <w:jc w:val="both"/>
        <w:rPr>
          <w:rFonts w:ascii="Calibri" w:hAnsi="Calibri" w:cs="Calibri"/>
          <w:lang w:val="it-IT"/>
        </w:rPr>
      </w:pPr>
      <w:r w:rsidRPr="00DE2F90">
        <w:rPr>
          <w:rFonts w:ascii="Calibri" w:hAnsi="Calibri" w:cs="Calibri"/>
          <w:lang w:val="it-IT"/>
        </w:rPr>
        <w:t xml:space="preserve">Un ciclo di terapia con IPP della durata di 4-8 settimane è inoltre indicato nei pazienti che, nonostante l’eradicazione dell’infezione, continuano ad avere sintomi, o nei pazienti non infetti con dispepsia caratterizzata soprattutto da dolore epigastrico (la </w:t>
      </w:r>
      <w:proofErr w:type="spellStart"/>
      <w:r w:rsidRPr="00DE2F90">
        <w:rPr>
          <w:rFonts w:ascii="Calibri" w:hAnsi="Calibri" w:cs="Calibri"/>
          <w:lang w:val="it-IT"/>
        </w:rPr>
        <w:t>cosidetta</w:t>
      </w:r>
      <w:proofErr w:type="spellEnd"/>
      <w:r w:rsidRPr="00DE2F90">
        <w:rPr>
          <w:rFonts w:ascii="Calibri" w:hAnsi="Calibri" w:cs="Calibri"/>
          <w:lang w:val="it-IT"/>
        </w:rPr>
        <w:t xml:space="preserve"> </w:t>
      </w:r>
      <w:proofErr w:type="spellStart"/>
      <w:r w:rsidRPr="00DE2F90">
        <w:rPr>
          <w:rFonts w:ascii="Calibri" w:hAnsi="Calibri" w:cs="Calibri"/>
          <w:i/>
          <w:iCs/>
          <w:lang w:val="it-IT"/>
        </w:rPr>
        <w:t>Epigastric</w:t>
      </w:r>
      <w:proofErr w:type="spellEnd"/>
      <w:r w:rsidRPr="00DE2F90">
        <w:rPr>
          <w:rFonts w:ascii="Calibri" w:hAnsi="Calibri" w:cs="Calibri"/>
          <w:i/>
          <w:iCs/>
          <w:lang w:val="it-IT"/>
        </w:rPr>
        <w:t xml:space="preserve"> </w:t>
      </w:r>
      <w:proofErr w:type="spellStart"/>
      <w:r w:rsidRPr="00DE2F90">
        <w:rPr>
          <w:rFonts w:ascii="Calibri" w:hAnsi="Calibri" w:cs="Calibri"/>
          <w:i/>
          <w:iCs/>
          <w:lang w:val="it-IT"/>
        </w:rPr>
        <w:t>Pain</w:t>
      </w:r>
      <w:proofErr w:type="spellEnd"/>
      <w:r w:rsidRPr="00DE2F90">
        <w:rPr>
          <w:rFonts w:ascii="Calibri" w:hAnsi="Calibri" w:cs="Calibri"/>
          <w:i/>
          <w:iCs/>
          <w:lang w:val="it-IT"/>
        </w:rPr>
        <w:t xml:space="preserve"> </w:t>
      </w:r>
      <w:proofErr w:type="spellStart"/>
      <w:r w:rsidRPr="00DE2F90">
        <w:rPr>
          <w:rFonts w:ascii="Calibri" w:hAnsi="Calibri" w:cs="Calibri"/>
          <w:i/>
          <w:iCs/>
          <w:lang w:val="it-IT"/>
        </w:rPr>
        <w:t>Syndrome</w:t>
      </w:r>
      <w:proofErr w:type="spellEnd"/>
      <w:r w:rsidRPr="00DE2F90">
        <w:rPr>
          <w:rFonts w:ascii="Calibri" w:hAnsi="Calibri" w:cs="Calibri"/>
          <w:lang w:val="it-IT"/>
        </w:rPr>
        <w:t xml:space="preserve">, secondo i criteri di Roma III).  </w:t>
      </w:r>
    </w:p>
    <w:p w:rsidR="006C4501" w:rsidRDefault="006C4501" w:rsidP="00B25BC1">
      <w:pPr>
        <w:jc w:val="both"/>
        <w:rPr>
          <w:rFonts w:ascii="Calibri" w:hAnsi="Calibri" w:cs="Calibri"/>
          <w:lang w:val="it-IT"/>
        </w:rPr>
      </w:pPr>
    </w:p>
    <w:p w:rsidR="006C4501" w:rsidRDefault="006C4501" w:rsidP="00B25BC1">
      <w:pPr>
        <w:jc w:val="both"/>
        <w:rPr>
          <w:rFonts w:ascii="Calibri" w:hAnsi="Calibri" w:cs="Calibri"/>
          <w:lang w:val="it-IT"/>
        </w:rPr>
      </w:pPr>
      <w:r w:rsidRPr="00DE2F90">
        <w:rPr>
          <w:rFonts w:ascii="Calibri" w:hAnsi="Calibri" w:cs="Calibri"/>
          <w:lang w:val="it-IT"/>
        </w:rPr>
        <w:t xml:space="preserve">Anche i sintomi dispeptici, </w:t>
      </w:r>
      <w:r w:rsidRPr="005566B4">
        <w:rPr>
          <w:rFonts w:ascii="Calibri" w:hAnsi="Calibri" w:cs="Calibri"/>
          <w:lang w:val="it-IT"/>
        </w:rPr>
        <w:t xml:space="preserve">che possono insorgere con la somministrazione di FANS, migliorano significativamente con la </w:t>
      </w:r>
      <w:proofErr w:type="spellStart"/>
      <w:r w:rsidRPr="005566B4">
        <w:rPr>
          <w:rFonts w:ascii="Calibri" w:hAnsi="Calibri" w:cs="Calibri"/>
          <w:lang w:val="it-IT"/>
        </w:rPr>
        <w:t>co-somministrazione</w:t>
      </w:r>
      <w:proofErr w:type="spellEnd"/>
      <w:r w:rsidRPr="005566B4">
        <w:rPr>
          <w:rFonts w:ascii="Calibri" w:hAnsi="Calibri" w:cs="Calibri"/>
          <w:lang w:val="it-IT"/>
        </w:rPr>
        <w:t xml:space="preserve"> di IPP.</w:t>
      </w:r>
    </w:p>
    <w:p w:rsidR="006C4501" w:rsidRPr="00DE2F90" w:rsidRDefault="006C4501" w:rsidP="00B25BC1">
      <w:pPr>
        <w:jc w:val="both"/>
        <w:rPr>
          <w:rFonts w:ascii="Calibri" w:hAnsi="Calibri" w:cs="Calibri"/>
          <w:lang w:val="it-IT"/>
        </w:rPr>
      </w:pPr>
    </w:p>
    <w:p w:rsidR="006C4501" w:rsidRPr="00D10A3D" w:rsidRDefault="006C4501" w:rsidP="001804F4">
      <w:pPr>
        <w:jc w:val="both"/>
        <w:rPr>
          <w:rFonts w:ascii="Calibri" w:hAnsi="Calibri" w:cs="Calibri"/>
          <w:color w:val="000000"/>
          <w:lang w:val="it-IT"/>
        </w:rPr>
      </w:pPr>
      <w:r w:rsidRPr="00D10A3D">
        <w:rPr>
          <w:rFonts w:ascii="Calibri" w:hAnsi="Calibri" w:cs="Calibri"/>
          <w:color w:val="000000"/>
          <w:lang w:val="it-IT"/>
        </w:rPr>
        <w:t>L’approccio descritto si applica anche ai pazienti con dispepsia funzionale, in cui l’</w:t>
      </w:r>
      <w:proofErr w:type="spellStart"/>
      <w:r w:rsidRPr="00D10A3D">
        <w:rPr>
          <w:rFonts w:ascii="Calibri" w:hAnsi="Calibri" w:cs="Calibri"/>
          <w:color w:val="000000"/>
          <w:lang w:val="it-IT"/>
        </w:rPr>
        <w:t>esofago-gastro-duodeno-scopia</w:t>
      </w:r>
      <w:proofErr w:type="spellEnd"/>
      <w:r w:rsidRPr="00D10A3D">
        <w:rPr>
          <w:rFonts w:ascii="Calibri" w:hAnsi="Calibri" w:cs="Calibri"/>
          <w:color w:val="000000"/>
          <w:lang w:val="it-IT"/>
        </w:rPr>
        <w:t xml:space="preserve"> ha escluso una patologia organica.</w:t>
      </w:r>
    </w:p>
    <w:p w:rsidR="006C4501" w:rsidRDefault="006C4501" w:rsidP="00E872C2">
      <w:pPr>
        <w:rPr>
          <w:rFonts w:ascii="Calibri" w:hAnsi="Calibri" w:cs="Calibri"/>
          <w:color w:val="000000"/>
          <w:sz w:val="28"/>
          <w:szCs w:val="28"/>
          <w:lang w:val="it-IT"/>
        </w:rPr>
      </w:pPr>
    </w:p>
    <w:p w:rsidR="006C4501" w:rsidRDefault="006C4501" w:rsidP="00E872C2">
      <w:pPr>
        <w:rPr>
          <w:rFonts w:ascii="Calibri" w:hAnsi="Calibri" w:cs="Calibri"/>
          <w:color w:val="000000"/>
          <w:sz w:val="28"/>
          <w:szCs w:val="28"/>
          <w:lang w:val="it-IT"/>
        </w:rPr>
      </w:pPr>
    </w:p>
    <w:p w:rsidR="006C4501" w:rsidRDefault="006C4501" w:rsidP="00E872C2">
      <w:pPr>
        <w:rPr>
          <w:rFonts w:ascii="Calibri" w:hAnsi="Calibri" w:cs="Calibri"/>
          <w:color w:val="000000"/>
          <w:sz w:val="28"/>
          <w:szCs w:val="28"/>
          <w:lang w:val="it-IT"/>
        </w:rPr>
      </w:pPr>
    </w:p>
    <w:p w:rsidR="006C4501" w:rsidRDefault="006C4501" w:rsidP="00E872C2">
      <w:pPr>
        <w:jc w:val="both"/>
        <w:rPr>
          <w:rFonts w:ascii="Calibri" w:hAnsi="Calibri" w:cs="Calibri"/>
          <w:b/>
          <w:bCs/>
          <w:color w:val="000000"/>
          <w:sz w:val="28"/>
          <w:szCs w:val="28"/>
          <w:lang w:val="it-IT"/>
        </w:rPr>
      </w:pPr>
    </w:p>
    <w:p w:rsidR="006C4501" w:rsidRDefault="006C4501" w:rsidP="00E872C2">
      <w:pPr>
        <w:jc w:val="both"/>
        <w:rPr>
          <w:rFonts w:ascii="Calibri" w:hAnsi="Calibri" w:cs="Calibri"/>
          <w:b/>
          <w:bCs/>
          <w:color w:val="000000"/>
          <w:sz w:val="28"/>
          <w:szCs w:val="28"/>
          <w:lang w:val="it-IT"/>
        </w:rPr>
      </w:pPr>
      <w:r w:rsidRPr="00BB3EB7">
        <w:rPr>
          <w:rFonts w:ascii="Calibri" w:hAnsi="Calibri" w:cs="Calibri"/>
          <w:b/>
          <w:bCs/>
          <w:color w:val="000000"/>
          <w:sz w:val="28"/>
          <w:szCs w:val="28"/>
          <w:lang w:val="it-IT"/>
        </w:rPr>
        <w:lastRenderedPageBreak/>
        <w:t>Uso degli Inibitori di Pompa Protonica nei Pazienti che Assumono Antinfiammatori Non Steroidei (FANS)</w:t>
      </w:r>
    </w:p>
    <w:p w:rsidR="006C4501" w:rsidRPr="00BB3EB7" w:rsidRDefault="006C4501" w:rsidP="00E872C2">
      <w:pPr>
        <w:jc w:val="both"/>
        <w:rPr>
          <w:rFonts w:ascii="Calibri" w:hAnsi="Calibri" w:cs="Calibri"/>
          <w:b/>
          <w:bCs/>
          <w:color w:val="000000"/>
          <w:lang w:val="it-IT"/>
        </w:rPr>
      </w:pPr>
    </w:p>
    <w:p w:rsidR="006C4501" w:rsidRDefault="006C4501" w:rsidP="001804F4">
      <w:pPr>
        <w:jc w:val="both"/>
        <w:rPr>
          <w:rFonts w:ascii="Calibri" w:hAnsi="Calibri" w:cs="Calibri"/>
          <w:color w:val="000000"/>
          <w:lang w:val="it-IT"/>
        </w:rPr>
      </w:pPr>
      <w:r>
        <w:rPr>
          <w:rFonts w:ascii="Calibri" w:hAnsi="Calibri" w:cs="Calibri"/>
          <w:color w:val="000000"/>
          <w:lang w:val="it-IT"/>
        </w:rPr>
        <w:t xml:space="preserve">Gli IPP </w:t>
      </w:r>
      <w:r w:rsidRPr="00D10A3D">
        <w:rPr>
          <w:rFonts w:ascii="Calibri" w:hAnsi="Calibri" w:cs="Calibri"/>
          <w:color w:val="000000"/>
          <w:lang w:val="it-IT"/>
        </w:rPr>
        <w:t>sono indicat</w:t>
      </w:r>
      <w:r>
        <w:rPr>
          <w:rFonts w:ascii="Calibri" w:hAnsi="Calibri" w:cs="Calibri"/>
          <w:color w:val="000000"/>
          <w:lang w:val="it-IT"/>
        </w:rPr>
        <w:t>i</w:t>
      </w:r>
      <w:r w:rsidRPr="00D10A3D">
        <w:rPr>
          <w:rFonts w:ascii="Calibri" w:hAnsi="Calibri" w:cs="Calibri"/>
          <w:color w:val="000000"/>
          <w:lang w:val="it-IT"/>
        </w:rPr>
        <w:t xml:space="preserve"> per la prevenzione delle complicanze gastrointestinali (sanguinamento e/o perforazione) nei pazienti rischio</w:t>
      </w:r>
      <w:r>
        <w:rPr>
          <w:rFonts w:ascii="Calibri" w:hAnsi="Calibri" w:cs="Calibri"/>
          <w:color w:val="000000"/>
          <w:lang w:val="it-IT"/>
        </w:rPr>
        <w:t xml:space="preserve"> di complicanze</w:t>
      </w:r>
      <w:r w:rsidRPr="00D10A3D">
        <w:rPr>
          <w:rFonts w:ascii="Calibri" w:hAnsi="Calibri" w:cs="Calibri"/>
          <w:color w:val="000000"/>
          <w:lang w:val="it-IT"/>
        </w:rPr>
        <w:t xml:space="preserve"> (ovvero pazienti che presentano ≥1 fra i seguenti fattori di rischio: età &gt;65 anni, storia di malattia peptica, </w:t>
      </w:r>
      <w:r w:rsidRPr="00E729C7">
        <w:rPr>
          <w:rFonts w:ascii="Calibri" w:hAnsi="Calibri" w:cs="Calibri"/>
          <w:color w:val="000000"/>
          <w:lang w:val="it-IT"/>
        </w:rPr>
        <w:t xml:space="preserve">uso concomitante di steroidi e/o terapia antiaggregante e/o terapia anticoagulante), che assumono FANS non selettivi o nei pazienti, con precedente sanguinamento da ulcera peptica, che </w:t>
      </w:r>
      <w:r w:rsidRPr="005566B4">
        <w:rPr>
          <w:rFonts w:ascii="Calibri" w:hAnsi="Calibri" w:cs="Calibri"/>
          <w:color w:val="000000"/>
          <w:lang w:val="it-IT"/>
        </w:rPr>
        <w:t xml:space="preserve">assumono FANS selettivi nei riguardi della COX-2 (inibitori selettivi della COX-2, comunemente e incorrettamente, chiamati </w:t>
      </w:r>
      <w:proofErr w:type="spellStart"/>
      <w:r w:rsidRPr="005566B4">
        <w:rPr>
          <w:rFonts w:ascii="Calibri" w:hAnsi="Calibri" w:cs="Calibri"/>
          <w:color w:val="000000"/>
          <w:lang w:val="it-IT"/>
        </w:rPr>
        <w:t>coxib</w:t>
      </w:r>
      <w:proofErr w:type="spellEnd"/>
      <w:r w:rsidRPr="005566B4">
        <w:rPr>
          <w:rFonts w:ascii="Calibri" w:hAnsi="Calibri" w:cs="Calibri"/>
          <w:color w:val="000000"/>
          <w:lang w:val="it-IT"/>
        </w:rPr>
        <w:t>). Gli IPP migliorano anche i sintomi dispeptici associati alla somministrazione di FANS (selettivi e non). Tuttavia, gli eventi avversi determinati dai FANS (selettivi o non) a carico dell’apparato gastrointestinale inferiore non sono prevenuti (e potrebbero essere addirittura aggravati) dall’utilizzo degli IPP.</w:t>
      </w:r>
    </w:p>
    <w:p w:rsidR="006C4501" w:rsidRPr="005566B4" w:rsidRDefault="006C4501" w:rsidP="001804F4">
      <w:pPr>
        <w:jc w:val="both"/>
        <w:rPr>
          <w:rFonts w:ascii="Calibri" w:hAnsi="Calibri" w:cs="Calibri"/>
          <w:strike/>
          <w:color w:val="000000"/>
          <w:lang w:val="it-IT"/>
        </w:rPr>
      </w:pPr>
    </w:p>
    <w:p w:rsidR="006C4501" w:rsidRDefault="006C4501" w:rsidP="001804F4">
      <w:pPr>
        <w:jc w:val="both"/>
        <w:rPr>
          <w:rFonts w:ascii="Calibri" w:hAnsi="Calibri" w:cs="Calibri"/>
          <w:color w:val="000000"/>
          <w:lang w:val="it-IT"/>
        </w:rPr>
      </w:pPr>
      <w:r w:rsidRPr="00D10A3D">
        <w:rPr>
          <w:rFonts w:ascii="Calibri" w:hAnsi="Calibri" w:cs="Calibri"/>
          <w:color w:val="000000"/>
          <w:lang w:val="it-IT"/>
        </w:rPr>
        <w:t xml:space="preserve">Prima di iniziare la terapia a lungo termine è indicata la ricerca e l’eradicazione dell’infezione da </w:t>
      </w:r>
      <w:r w:rsidRPr="00D10A3D">
        <w:rPr>
          <w:rFonts w:ascii="Calibri" w:hAnsi="Calibri" w:cs="Calibri"/>
          <w:i/>
          <w:iCs/>
          <w:color w:val="000000"/>
          <w:lang w:val="it-IT"/>
        </w:rPr>
        <w:t xml:space="preserve">H. </w:t>
      </w:r>
      <w:proofErr w:type="spellStart"/>
      <w:r w:rsidRPr="00D10A3D">
        <w:rPr>
          <w:rFonts w:ascii="Calibri" w:hAnsi="Calibri" w:cs="Calibri"/>
          <w:i/>
          <w:iCs/>
          <w:color w:val="000000"/>
          <w:lang w:val="it-IT"/>
        </w:rPr>
        <w:t>pylori</w:t>
      </w:r>
      <w:proofErr w:type="spellEnd"/>
      <w:r w:rsidRPr="00D10A3D">
        <w:rPr>
          <w:rFonts w:ascii="Calibri" w:hAnsi="Calibri" w:cs="Calibri"/>
          <w:color w:val="000000"/>
          <w:lang w:val="it-IT"/>
        </w:rPr>
        <w:t xml:space="preserve">. </w:t>
      </w:r>
    </w:p>
    <w:p w:rsidR="006C4501" w:rsidRDefault="006C4501" w:rsidP="001804F4">
      <w:pPr>
        <w:jc w:val="both"/>
        <w:rPr>
          <w:rFonts w:ascii="Calibri" w:hAnsi="Calibri" w:cs="Calibri"/>
          <w:color w:val="000000"/>
          <w:lang w:val="it-IT"/>
        </w:rPr>
      </w:pPr>
    </w:p>
    <w:p w:rsidR="006C4501" w:rsidRDefault="006C4501" w:rsidP="001804F4">
      <w:pPr>
        <w:jc w:val="both"/>
        <w:rPr>
          <w:rFonts w:ascii="Calibri" w:hAnsi="Calibri" w:cs="Calibri"/>
          <w:color w:val="000000"/>
          <w:lang w:val="it-IT"/>
        </w:rPr>
      </w:pPr>
    </w:p>
    <w:p w:rsidR="006C4501" w:rsidRDefault="006C4501" w:rsidP="001804F4">
      <w:pPr>
        <w:jc w:val="both"/>
        <w:rPr>
          <w:rFonts w:ascii="Calibri" w:hAnsi="Calibri" w:cs="Calibri"/>
          <w:color w:val="000000"/>
          <w:lang w:val="it-IT"/>
        </w:rPr>
      </w:pPr>
    </w:p>
    <w:p w:rsidR="006C4501" w:rsidRDefault="006C4501" w:rsidP="00A46B7A">
      <w:pPr>
        <w:spacing w:after="240"/>
        <w:jc w:val="both"/>
        <w:rPr>
          <w:rFonts w:ascii="Calibri" w:hAnsi="Calibri" w:cs="Calibri"/>
          <w:b/>
          <w:bCs/>
          <w:sz w:val="28"/>
          <w:szCs w:val="28"/>
          <w:lang w:val="it-IT"/>
        </w:rPr>
      </w:pPr>
      <w:r w:rsidRPr="00BB3EB7">
        <w:rPr>
          <w:rFonts w:ascii="Calibri" w:hAnsi="Calibri" w:cs="Calibri"/>
          <w:b/>
          <w:bCs/>
          <w:sz w:val="28"/>
          <w:szCs w:val="28"/>
          <w:lang w:val="it-IT"/>
        </w:rPr>
        <w:t xml:space="preserve">Uso degli Inibitori di Pompa Protonica nei Pazienti che Assumono Antiaggreganti o Anticoagulanti </w:t>
      </w:r>
    </w:p>
    <w:p w:rsidR="006C4501" w:rsidRPr="00BB3EB7" w:rsidRDefault="006C4501" w:rsidP="00A46B7A">
      <w:pPr>
        <w:spacing w:after="240"/>
        <w:jc w:val="both"/>
        <w:rPr>
          <w:rFonts w:ascii="Calibri" w:hAnsi="Calibri" w:cs="Calibri"/>
          <w:b/>
          <w:bCs/>
          <w:lang w:val="it-IT"/>
        </w:rPr>
      </w:pPr>
    </w:p>
    <w:p w:rsidR="006C4501" w:rsidRDefault="006C4501" w:rsidP="00A46B7A">
      <w:pPr>
        <w:spacing w:after="240"/>
        <w:jc w:val="both"/>
        <w:rPr>
          <w:rFonts w:ascii="Calibri" w:hAnsi="Calibri" w:cs="Calibri"/>
          <w:color w:val="000000"/>
          <w:lang w:val="it-IT"/>
        </w:rPr>
      </w:pPr>
      <w:r>
        <w:rPr>
          <w:rFonts w:ascii="Calibri" w:hAnsi="Calibri" w:cs="Calibri"/>
          <w:color w:val="000000"/>
          <w:lang w:val="it-IT"/>
        </w:rPr>
        <w:t xml:space="preserve">Gli </w:t>
      </w:r>
      <w:r w:rsidRPr="00D10A3D">
        <w:rPr>
          <w:rFonts w:ascii="Calibri" w:hAnsi="Calibri" w:cs="Calibri"/>
          <w:color w:val="000000"/>
          <w:lang w:val="it-IT"/>
        </w:rPr>
        <w:t xml:space="preserve">IPP </w:t>
      </w:r>
      <w:r>
        <w:rPr>
          <w:rFonts w:ascii="Calibri" w:hAnsi="Calibri" w:cs="Calibri"/>
          <w:color w:val="000000"/>
          <w:lang w:val="it-IT"/>
        </w:rPr>
        <w:t xml:space="preserve">sono </w:t>
      </w:r>
      <w:r w:rsidRPr="00D10A3D">
        <w:rPr>
          <w:rFonts w:ascii="Calibri" w:hAnsi="Calibri" w:cs="Calibri"/>
          <w:color w:val="000000"/>
          <w:lang w:val="it-IT"/>
        </w:rPr>
        <w:t>indicat</w:t>
      </w:r>
      <w:r>
        <w:rPr>
          <w:rFonts w:ascii="Calibri" w:hAnsi="Calibri" w:cs="Calibri"/>
          <w:color w:val="000000"/>
          <w:lang w:val="it-IT"/>
        </w:rPr>
        <w:t>i</w:t>
      </w:r>
      <w:r w:rsidRPr="00D10A3D">
        <w:rPr>
          <w:rFonts w:ascii="Calibri" w:hAnsi="Calibri" w:cs="Calibri"/>
          <w:color w:val="000000"/>
          <w:lang w:val="it-IT"/>
        </w:rPr>
        <w:t xml:space="preserve"> per la protezione della mucosa gastro-duodenale di tutti i pazienti in terapia antiaggregante </w:t>
      </w:r>
      <w:r w:rsidR="00C06599">
        <w:rPr>
          <w:rFonts w:ascii="Calibri" w:hAnsi="Calibri" w:cs="Calibri"/>
          <w:color w:val="000000"/>
          <w:lang w:val="it-IT"/>
        </w:rPr>
        <w:t xml:space="preserve">a </w:t>
      </w:r>
      <w:r w:rsidRPr="00D10A3D">
        <w:rPr>
          <w:rFonts w:ascii="Calibri" w:hAnsi="Calibri" w:cs="Calibri"/>
          <w:color w:val="000000"/>
          <w:lang w:val="it-IT"/>
        </w:rPr>
        <w:t xml:space="preserve">rischio di sanguinamento (ovvero pazienti che presentano ≥ 1 fra i seguenti fattori di rischio: età &gt;65 anni, storia di malattia peptica, uso concomitante di steroidi e/o anticoagulanti). </w:t>
      </w:r>
    </w:p>
    <w:p w:rsidR="006C4501" w:rsidRDefault="006C4501" w:rsidP="00A46B7A">
      <w:pPr>
        <w:jc w:val="both"/>
        <w:rPr>
          <w:rFonts w:ascii="Calibri" w:hAnsi="Calibri" w:cs="Calibri"/>
          <w:lang w:val="it-IT"/>
        </w:rPr>
      </w:pPr>
      <w:r w:rsidRPr="00B25BC1">
        <w:rPr>
          <w:rFonts w:ascii="Calibri" w:hAnsi="Calibri" w:cs="Calibri"/>
          <w:lang w:val="it-IT"/>
        </w:rPr>
        <w:t>La terapia con i soli anticoagulanti non si è dimostrata essere lesiva della mucosa gastroduodenale e quindi non necessita di terapia con IPP.</w:t>
      </w:r>
    </w:p>
    <w:p w:rsidR="006C4501" w:rsidRPr="00B25BC1" w:rsidRDefault="006C4501" w:rsidP="00A46B7A">
      <w:pPr>
        <w:jc w:val="both"/>
        <w:rPr>
          <w:rFonts w:ascii="Calibri" w:hAnsi="Calibri" w:cs="Calibri"/>
          <w:lang w:val="it-IT"/>
        </w:rPr>
      </w:pPr>
    </w:p>
    <w:p w:rsidR="006C4501" w:rsidRDefault="006C4501" w:rsidP="00A46B7A">
      <w:pPr>
        <w:jc w:val="both"/>
        <w:rPr>
          <w:rFonts w:ascii="Calibri" w:hAnsi="Calibri" w:cs="Calibri"/>
          <w:color w:val="000000"/>
          <w:lang w:val="it-IT"/>
        </w:rPr>
      </w:pPr>
      <w:r w:rsidRPr="00B25BC1">
        <w:rPr>
          <w:rFonts w:ascii="Calibri" w:hAnsi="Calibri" w:cs="Calibri"/>
          <w:color w:val="000000"/>
          <w:lang w:val="it-IT"/>
        </w:rPr>
        <w:t xml:space="preserve">Nei pazienti che assumono antagonisti della vitamina K e che iniziano o sospendono la terapia con IPP, è necessario un monitoraggio più frequente dell’INR. Nei pazienti che assumono </w:t>
      </w:r>
      <w:proofErr w:type="spellStart"/>
      <w:r w:rsidRPr="00B25BC1">
        <w:rPr>
          <w:rFonts w:ascii="Calibri" w:hAnsi="Calibri" w:cs="Calibri"/>
          <w:color w:val="000000"/>
          <w:lang w:val="it-IT"/>
        </w:rPr>
        <w:t>clopidogrel</w:t>
      </w:r>
      <w:proofErr w:type="spellEnd"/>
      <w:r w:rsidRPr="00B25BC1">
        <w:rPr>
          <w:rFonts w:ascii="Calibri" w:hAnsi="Calibri" w:cs="Calibri"/>
          <w:color w:val="000000"/>
          <w:lang w:val="it-IT"/>
        </w:rPr>
        <w:t xml:space="preserve"> o antagonisti della vitamina K, il </w:t>
      </w:r>
      <w:proofErr w:type="spellStart"/>
      <w:r w:rsidRPr="00B25BC1">
        <w:rPr>
          <w:rFonts w:ascii="Calibri" w:hAnsi="Calibri" w:cs="Calibri"/>
          <w:color w:val="000000"/>
          <w:lang w:val="it-IT"/>
        </w:rPr>
        <w:t>pantoprazolo</w:t>
      </w:r>
      <w:proofErr w:type="spellEnd"/>
      <w:r w:rsidRPr="00B25BC1">
        <w:rPr>
          <w:rFonts w:ascii="Calibri" w:hAnsi="Calibri" w:cs="Calibri"/>
          <w:color w:val="000000"/>
          <w:lang w:val="it-IT"/>
        </w:rPr>
        <w:t xml:space="preserve"> ed il </w:t>
      </w:r>
      <w:proofErr w:type="spellStart"/>
      <w:r w:rsidRPr="00B25BC1">
        <w:rPr>
          <w:rFonts w:ascii="Calibri" w:hAnsi="Calibri" w:cs="Calibri"/>
          <w:color w:val="000000"/>
          <w:lang w:val="it-IT"/>
        </w:rPr>
        <w:t>rabeprazolo</w:t>
      </w:r>
      <w:proofErr w:type="spellEnd"/>
      <w:r w:rsidRPr="00B25BC1">
        <w:rPr>
          <w:rFonts w:ascii="Calibri" w:hAnsi="Calibri" w:cs="Calibri"/>
          <w:color w:val="000000"/>
          <w:lang w:val="it-IT"/>
        </w:rPr>
        <w:t xml:space="preserve"> rappresentato gli IPP di scelta.</w:t>
      </w:r>
    </w:p>
    <w:p w:rsidR="006C4501" w:rsidRDefault="006C4501" w:rsidP="00A46B7A">
      <w:pPr>
        <w:jc w:val="both"/>
        <w:rPr>
          <w:rFonts w:ascii="Calibri" w:hAnsi="Calibri" w:cs="Calibri"/>
          <w:color w:val="000000"/>
          <w:lang w:val="it-IT"/>
        </w:rPr>
      </w:pPr>
    </w:p>
    <w:p w:rsidR="006C4501" w:rsidRDefault="006C4501" w:rsidP="00A46B7A">
      <w:pPr>
        <w:jc w:val="both"/>
        <w:rPr>
          <w:rFonts w:ascii="Calibri" w:hAnsi="Calibri" w:cs="Calibri"/>
          <w:color w:val="000000"/>
          <w:lang w:val="it-IT"/>
        </w:rPr>
      </w:pPr>
    </w:p>
    <w:p w:rsidR="006C4501" w:rsidRDefault="006C4501" w:rsidP="00A46B7A">
      <w:pPr>
        <w:jc w:val="both"/>
        <w:rPr>
          <w:rFonts w:ascii="Calibri" w:hAnsi="Calibri" w:cs="Calibri"/>
          <w:color w:val="000000"/>
          <w:lang w:val="it-IT"/>
        </w:rPr>
      </w:pPr>
    </w:p>
    <w:p w:rsidR="006C4501" w:rsidRDefault="006C4501" w:rsidP="00A46B7A">
      <w:pPr>
        <w:jc w:val="both"/>
        <w:rPr>
          <w:rFonts w:ascii="Calibri" w:hAnsi="Calibri" w:cs="Calibri"/>
          <w:color w:val="000000"/>
          <w:lang w:val="it-IT"/>
        </w:rPr>
      </w:pPr>
    </w:p>
    <w:p w:rsidR="006C4501" w:rsidRPr="00B25BC1" w:rsidRDefault="006C4501" w:rsidP="00A46B7A">
      <w:pPr>
        <w:jc w:val="both"/>
        <w:rPr>
          <w:rFonts w:ascii="Calibri" w:hAnsi="Calibri" w:cs="Calibri"/>
          <w:color w:val="000000"/>
          <w:lang w:val="it-IT"/>
        </w:rPr>
      </w:pPr>
    </w:p>
    <w:p w:rsidR="006C4501" w:rsidRPr="00BB3EB7" w:rsidRDefault="006C4501" w:rsidP="00A46B7A">
      <w:pPr>
        <w:spacing w:after="240"/>
        <w:jc w:val="both"/>
        <w:rPr>
          <w:rFonts w:ascii="Calibri" w:hAnsi="Calibri" w:cs="Calibri"/>
          <w:b/>
          <w:bCs/>
          <w:color w:val="000000"/>
          <w:sz w:val="28"/>
          <w:szCs w:val="28"/>
          <w:lang w:val="it-IT"/>
        </w:rPr>
      </w:pPr>
      <w:r w:rsidRPr="00BB3EB7">
        <w:rPr>
          <w:rFonts w:ascii="Calibri" w:hAnsi="Calibri" w:cs="Calibri"/>
          <w:b/>
          <w:bCs/>
          <w:color w:val="000000"/>
          <w:sz w:val="28"/>
          <w:szCs w:val="28"/>
          <w:lang w:val="it-IT"/>
        </w:rPr>
        <w:lastRenderedPageBreak/>
        <w:t xml:space="preserve">Uso degli Inibitori di Pompa Protonica nei Pazienti che Assumono Corticosteroidi </w:t>
      </w:r>
    </w:p>
    <w:p w:rsidR="006C4501" w:rsidRPr="00E872C2" w:rsidRDefault="006C4501" w:rsidP="001804F4">
      <w:pPr>
        <w:spacing w:after="240"/>
        <w:jc w:val="both"/>
        <w:rPr>
          <w:rFonts w:ascii="Calibri" w:hAnsi="Calibri" w:cs="Calibri"/>
          <w:i/>
          <w:iCs/>
          <w:lang w:val="it-IT"/>
        </w:rPr>
      </w:pPr>
      <w:r w:rsidRPr="00E872C2">
        <w:rPr>
          <w:rFonts w:ascii="Calibri" w:hAnsi="Calibri" w:cs="Calibri"/>
          <w:lang w:val="it-IT"/>
        </w:rPr>
        <w:t xml:space="preserve">La terapia con corticosteroidi non esercita alcun effetto lesivo sulla mucosa gastro-duodenale, ma aumenta la tossicità dei FANS. Per questo motivo, la </w:t>
      </w:r>
      <w:proofErr w:type="spellStart"/>
      <w:r w:rsidRPr="00E872C2">
        <w:rPr>
          <w:rFonts w:ascii="Calibri" w:hAnsi="Calibri" w:cs="Calibri"/>
          <w:lang w:val="it-IT"/>
        </w:rPr>
        <w:t>gastroprotezione</w:t>
      </w:r>
      <w:proofErr w:type="spellEnd"/>
      <w:r w:rsidRPr="00E872C2">
        <w:rPr>
          <w:rFonts w:ascii="Calibri" w:hAnsi="Calibri" w:cs="Calibri"/>
          <w:lang w:val="it-IT"/>
        </w:rPr>
        <w:t xml:space="preserve"> con gli IPP non è indicata, ad eccezione dei pazienti che </w:t>
      </w:r>
      <w:r w:rsidRPr="005566B4">
        <w:rPr>
          <w:rFonts w:ascii="Calibri" w:hAnsi="Calibri" w:cs="Calibri"/>
          <w:lang w:val="it-IT"/>
        </w:rPr>
        <w:t>assumono</w:t>
      </w:r>
      <w:r>
        <w:rPr>
          <w:rFonts w:ascii="Calibri" w:hAnsi="Calibri" w:cs="Calibri"/>
          <w:lang w:val="it-IT"/>
        </w:rPr>
        <w:t xml:space="preserve"> </w:t>
      </w:r>
      <w:r w:rsidRPr="00E872C2">
        <w:rPr>
          <w:rFonts w:ascii="Calibri" w:hAnsi="Calibri" w:cs="Calibri"/>
          <w:lang w:val="it-IT"/>
        </w:rPr>
        <w:t>contemporaneamente FANS o abbiano una storia pregressa di malattia ulcera peptica.</w:t>
      </w:r>
    </w:p>
    <w:p w:rsidR="006C4501" w:rsidRDefault="006C4501" w:rsidP="001804F4">
      <w:pPr>
        <w:spacing w:after="240"/>
        <w:jc w:val="center"/>
        <w:rPr>
          <w:rFonts w:ascii="Calibri" w:hAnsi="Calibri" w:cs="Calibri"/>
          <w:color w:val="000000"/>
          <w:sz w:val="28"/>
          <w:szCs w:val="28"/>
          <w:lang w:val="it-IT"/>
        </w:rPr>
      </w:pPr>
    </w:p>
    <w:p w:rsidR="006C4501" w:rsidRPr="00D10A3D" w:rsidRDefault="006C4501" w:rsidP="001804F4">
      <w:pPr>
        <w:spacing w:after="240"/>
        <w:jc w:val="center"/>
        <w:rPr>
          <w:rFonts w:ascii="Calibri" w:hAnsi="Calibri" w:cs="Calibri"/>
          <w:color w:val="000000"/>
          <w:sz w:val="28"/>
          <w:szCs w:val="28"/>
          <w:lang w:val="it-IT"/>
        </w:rPr>
      </w:pPr>
    </w:p>
    <w:p w:rsidR="006C4501" w:rsidRPr="00BB3EB7" w:rsidRDefault="006C4501" w:rsidP="00E729C7">
      <w:pPr>
        <w:spacing w:after="240"/>
        <w:jc w:val="both"/>
        <w:rPr>
          <w:rFonts w:ascii="Calibri" w:hAnsi="Calibri" w:cs="Calibri"/>
          <w:b/>
          <w:bCs/>
          <w:color w:val="000000"/>
          <w:lang w:val="it-IT"/>
        </w:rPr>
      </w:pPr>
      <w:r w:rsidRPr="00BB3EB7">
        <w:rPr>
          <w:rFonts w:ascii="Calibri" w:hAnsi="Calibri" w:cs="Calibri"/>
          <w:b/>
          <w:bCs/>
          <w:color w:val="000000"/>
          <w:sz w:val="28"/>
          <w:szCs w:val="28"/>
          <w:lang w:val="it-IT"/>
        </w:rPr>
        <w:t>Uso degli Inibitori di Pompa Protonica nei Pazienti con Emorragia Gastrointestinale Superiore non Dovuta a Varici Esofagee</w:t>
      </w:r>
    </w:p>
    <w:p w:rsidR="006C4501" w:rsidRDefault="006C4501" w:rsidP="001804F4">
      <w:pPr>
        <w:spacing w:after="240"/>
        <w:jc w:val="both"/>
        <w:rPr>
          <w:rFonts w:ascii="Calibri" w:hAnsi="Calibri" w:cs="Calibri"/>
          <w:color w:val="000000"/>
          <w:lang w:val="it-IT"/>
        </w:rPr>
      </w:pPr>
      <w:r w:rsidRPr="00A46B7A">
        <w:rPr>
          <w:rFonts w:ascii="Calibri" w:hAnsi="Calibri" w:cs="Calibri"/>
          <w:color w:val="000000"/>
          <w:lang w:val="it-IT"/>
        </w:rPr>
        <w:t xml:space="preserve">Il trattamento delle emorragie gastrointestinali del tratto digestivo superiore è fondamentalmente endoscopico. Tuttavia, gli IPP dopo la terapia endoscopica riducono il rischio di </w:t>
      </w:r>
      <w:proofErr w:type="spellStart"/>
      <w:r w:rsidRPr="00A46B7A">
        <w:rPr>
          <w:rFonts w:ascii="Calibri" w:hAnsi="Calibri" w:cs="Calibri"/>
          <w:color w:val="000000"/>
          <w:lang w:val="it-IT"/>
        </w:rPr>
        <w:t>risanguinamento</w:t>
      </w:r>
      <w:proofErr w:type="spellEnd"/>
      <w:r w:rsidRPr="00A46B7A">
        <w:rPr>
          <w:rFonts w:ascii="Calibri" w:hAnsi="Calibri" w:cs="Calibri"/>
          <w:color w:val="000000"/>
          <w:lang w:val="it-IT"/>
        </w:rPr>
        <w:t xml:space="preserve"> e la necessità di un trattamento chirurgico, con un effetto positivo sulla mortalità per i pazienti ad alto rischio. La somministrazione </w:t>
      </w:r>
      <w:proofErr w:type="spellStart"/>
      <w:r w:rsidRPr="00A46B7A">
        <w:rPr>
          <w:rFonts w:ascii="Calibri" w:hAnsi="Calibri" w:cs="Calibri"/>
          <w:color w:val="000000"/>
          <w:lang w:val="it-IT"/>
        </w:rPr>
        <w:t>pre-ospedaliera</w:t>
      </w:r>
      <w:proofErr w:type="spellEnd"/>
      <w:r w:rsidRPr="00A46B7A">
        <w:rPr>
          <w:rFonts w:ascii="Calibri" w:hAnsi="Calibri" w:cs="Calibri"/>
          <w:color w:val="000000"/>
          <w:lang w:val="it-IT"/>
        </w:rPr>
        <w:t xml:space="preserve"> (orale o intravenosa) degli IPP può essere utile nel determinare una riduzione della gravità delle lesioni gastro-duodenali, aumentando così le probabilità di successo dell’emostasi endoscopica.</w:t>
      </w:r>
      <w:r>
        <w:rPr>
          <w:rFonts w:ascii="Calibri" w:hAnsi="Calibri" w:cs="Calibri"/>
          <w:color w:val="000000"/>
          <w:lang w:val="it-IT"/>
        </w:rPr>
        <w:t xml:space="preserve"> </w:t>
      </w:r>
    </w:p>
    <w:p w:rsidR="006C4501" w:rsidRDefault="006C4501" w:rsidP="001804F4">
      <w:pPr>
        <w:spacing w:after="240"/>
        <w:jc w:val="both"/>
        <w:rPr>
          <w:rFonts w:ascii="Calibri" w:hAnsi="Calibri" w:cs="Calibri"/>
          <w:color w:val="000000"/>
          <w:lang w:val="it-IT"/>
        </w:rPr>
      </w:pPr>
    </w:p>
    <w:p w:rsidR="006C4501" w:rsidRDefault="006C4501" w:rsidP="001804F4">
      <w:pPr>
        <w:spacing w:after="240"/>
        <w:jc w:val="both"/>
        <w:rPr>
          <w:rFonts w:ascii="Calibri" w:hAnsi="Calibri" w:cs="Calibri"/>
          <w:color w:val="000000"/>
          <w:lang w:val="it-IT"/>
        </w:rPr>
      </w:pPr>
    </w:p>
    <w:p w:rsidR="006C4501" w:rsidRPr="00BB3EB7" w:rsidRDefault="006C4501" w:rsidP="001804F4">
      <w:pPr>
        <w:spacing w:after="240"/>
        <w:jc w:val="both"/>
        <w:rPr>
          <w:rFonts w:ascii="Calibri" w:hAnsi="Calibri" w:cs="Calibri"/>
          <w:b/>
          <w:bCs/>
          <w:color w:val="000000"/>
          <w:lang w:val="it-IT"/>
        </w:rPr>
      </w:pPr>
      <w:r w:rsidRPr="00BB3EB7">
        <w:rPr>
          <w:rFonts w:ascii="Calibri" w:hAnsi="Calibri" w:cs="Calibri"/>
          <w:b/>
          <w:bCs/>
          <w:color w:val="000000"/>
          <w:sz w:val="28"/>
          <w:szCs w:val="28"/>
          <w:lang w:val="it-IT"/>
        </w:rPr>
        <w:t>Uso degli Inibitori di Pompa Protonica nei Pazienti con Cirrosi Epatica</w:t>
      </w:r>
    </w:p>
    <w:p w:rsidR="006C4501"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 xml:space="preserve">L’utilizzo degli IPP nei cirrotici deve essere molto prudente poiché non vi sono evidenze di loro benefici in questo tipo di pazienti, ad eccezione della riduzione del rischio di ulcere esofagee dopo </w:t>
      </w:r>
      <w:proofErr w:type="spellStart"/>
      <w:r w:rsidRPr="00D10A3D">
        <w:rPr>
          <w:rFonts w:ascii="Calibri" w:hAnsi="Calibri" w:cs="Calibri"/>
          <w:color w:val="000000"/>
          <w:lang w:val="it-IT"/>
        </w:rPr>
        <w:t>scleroterapia</w:t>
      </w:r>
      <w:proofErr w:type="spellEnd"/>
      <w:r w:rsidRPr="00D10A3D">
        <w:rPr>
          <w:rFonts w:ascii="Calibri" w:hAnsi="Calibri" w:cs="Calibri"/>
          <w:color w:val="000000"/>
          <w:lang w:val="it-IT"/>
        </w:rPr>
        <w:t xml:space="preserve"> o legatura delle varici. Vi sono inoltre alcune evidenze che indicano come il loro uso possa essere associato allo sviluppo di peritonite batterica spontanea.</w:t>
      </w:r>
    </w:p>
    <w:p w:rsidR="006C4501" w:rsidRPr="00E872C2" w:rsidRDefault="006C4501" w:rsidP="001804F4">
      <w:pPr>
        <w:spacing w:after="240"/>
        <w:rPr>
          <w:rFonts w:ascii="Calibri" w:hAnsi="Calibri" w:cs="Calibri"/>
          <w:color w:val="000000"/>
          <w:sz w:val="16"/>
          <w:szCs w:val="16"/>
          <w:lang w:val="it-IT"/>
        </w:rPr>
      </w:pPr>
    </w:p>
    <w:p w:rsidR="006C4501" w:rsidRPr="00BB3EB7" w:rsidRDefault="006C4501" w:rsidP="001804F4">
      <w:pPr>
        <w:spacing w:after="240"/>
        <w:rPr>
          <w:rFonts w:ascii="Calibri" w:hAnsi="Calibri" w:cs="Calibri"/>
          <w:b/>
          <w:bCs/>
          <w:color w:val="000000"/>
          <w:lang w:val="it-IT"/>
        </w:rPr>
      </w:pPr>
      <w:r w:rsidRPr="00BB3EB7">
        <w:rPr>
          <w:rFonts w:ascii="Calibri" w:hAnsi="Calibri" w:cs="Calibri"/>
          <w:b/>
          <w:bCs/>
          <w:color w:val="000000"/>
          <w:sz w:val="28"/>
          <w:szCs w:val="28"/>
          <w:lang w:val="it-IT"/>
        </w:rPr>
        <w:t xml:space="preserve">Uso degli Inibitori di Pompa Protonica in </w:t>
      </w:r>
      <w:proofErr w:type="spellStart"/>
      <w:r w:rsidRPr="00BB3EB7">
        <w:rPr>
          <w:rFonts w:ascii="Calibri" w:hAnsi="Calibri" w:cs="Calibri"/>
          <w:b/>
          <w:bCs/>
          <w:color w:val="000000"/>
          <w:sz w:val="28"/>
          <w:szCs w:val="28"/>
          <w:lang w:val="it-IT"/>
        </w:rPr>
        <w:t>Politerapia</w:t>
      </w:r>
      <w:proofErr w:type="spellEnd"/>
    </w:p>
    <w:p w:rsidR="006C4501" w:rsidRDefault="006C4501" w:rsidP="001804F4">
      <w:pPr>
        <w:spacing w:after="240"/>
        <w:jc w:val="both"/>
        <w:rPr>
          <w:rFonts w:ascii="Calibri" w:hAnsi="Calibri" w:cs="Calibri"/>
          <w:color w:val="000000"/>
          <w:lang w:val="it-IT"/>
        </w:rPr>
      </w:pPr>
      <w:r w:rsidRPr="00D10A3D">
        <w:rPr>
          <w:rFonts w:ascii="Calibri" w:hAnsi="Calibri" w:cs="Calibri"/>
          <w:color w:val="000000"/>
          <w:lang w:val="it-IT"/>
        </w:rPr>
        <w:t>La prescrizione di IPP non è giustificata nei pazienti in poli</w:t>
      </w:r>
      <w:r>
        <w:rPr>
          <w:rFonts w:ascii="Calibri" w:hAnsi="Calibri" w:cs="Calibri"/>
          <w:color w:val="000000"/>
          <w:lang w:val="it-IT"/>
        </w:rPr>
        <w:t>-</w:t>
      </w:r>
      <w:bookmarkStart w:id="0" w:name="_GoBack"/>
      <w:bookmarkEnd w:id="0"/>
      <w:r w:rsidRPr="00D10A3D">
        <w:rPr>
          <w:rFonts w:ascii="Calibri" w:hAnsi="Calibri" w:cs="Calibri"/>
          <w:color w:val="000000"/>
          <w:lang w:val="it-IT"/>
        </w:rPr>
        <w:t>farmacoterapia. Gli IPP possono interferire con il rilascio gastrointestinale o con il metabolismo epatico di diversi farmaci. Questa interazione è particolarmente rilevante per farmaci con un indice terapeutico ridotto (</w:t>
      </w:r>
      <w:proofErr w:type="spellStart"/>
      <w:r w:rsidRPr="00D10A3D">
        <w:rPr>
          <w:rFonts w:ascii="Calibri" w:hAnsi="Calibri" w:cs="Calibri"/>
          <w:color w:val="000000"/>
          <w:lang w:val="it-IT"/>
        </w:rPr>
        <w:t>benzodiazepine</w:t>
      </w:r>
      <w:proofErr w:type="spellEnd"/>
      <w:r w:rsidRPr="00D10A3D">
        <w:rPr>
          <w:rFonts w:ascii="Calibri" w:hAnsi="Calibri" w:cs="Calibri"/>
          <w:color w:val="000000"/>
          <w:lang w:val="it-IT"/>
        </w:rPr>
        <w:t xml:space="preserve">, antagonisti della vitamina K, anti-epilettici, antimicotici, etc.). L’interazione può essere più rilevante nei soggetti non caucasici.  </w:t>
      </w:r>
    </w:p>
    <w:p w:rsidR="006C4501" w:rsidRPr="00BB3EB7" w:rsidRDefault="006C4501" w:rsidP="001804F4">
      <w:pPr>
        <w:spacing w:after="240"/>
        <w:rPr>
          <w:rFonts w:ascii="Calibri" w:hAnsi="Calibri" w:cs="Calibri"/>
          <w:b/>
          <w:bCs/>
          <w:color w:val="000000"/>
          <w:lang w:val="it-IT"/>
        </w:rPr>
      </w:pPr>
      <w:r w:rsidRPr="00BB3EB7">
        <w:rPr>
          <w:rFonts w:ascii="Calibri" w:hAnsi="Calibri" w:cs="Calibri"/>
          <w:b/>
          <w:bCs/>
          <w:color w:val="000000"/>
          <w:sz w:val="28"/>
          <w:szCs w:val="28"/>
          <w:lang w:val="it-IT"/>
        </w:rPr>
        <w:lastRenderedPageBreak/>
        <w:t>Sicurezza dell’utilizzo degli Inibitori di Pompa Protonica a Lungo Termine</w:t>
      </w:r>
    </w:p>
    <w:p w:rsidR="006C4501" w:rsidRPr="00D10A3D" w:rsidRDefault="006C4501" w:rsidP="001804F4">
      <w:pPr>
        <w:tabs>
          <w:tab w:val="left" w:pos="4004"/>
        </w:tabs>
        <w:spacing w:after="240"/>
        <w:jc w:val="both"/>
        <w:rPr>
          <w:rFonts w:ascii="Calibri" w:hAnsi="Calibri" w:cs="Calibri"/>
          <w:color w:val="000000"/>
          <w:lang w:val="it-IT"/>
        </w:rPr>
      </w:pPr>
      <w:r w:rsidRPr="00D10A3D">
        <w:rPr>
          <w:rFonts w:ascii="Calibri" w:hAnsi="Calibri" w:cs="Calibri"/>
          <w:color w:val="000000"/>
          <w:lang w:val="it-IT"/>
        </w:rPr>
        <w:t xml:space="preserve">La terapia a breve e lungo termine con IPP è ben tollerata, con un’incidenza di effetti indesiderati compresa tra 1 e 3%. Alcuni di questi effetti sono biologicamente plausibili e prevedibili. Altri, più rari, sono </w:t>
      </w:r>
      <w:proofErr w:type="spellStart"/>
      <w:r w:rsidRPr="00D10A3D">
        <w:rPr>
          <w:rFonts w:ascii="Calibri" w:hAnsi="Calibri" w:cs="Calibri"/>
          <w:color w:val="000000"/>
          <w:lang w:val="it-IT"/>
        </w:rPr>
        <w:t>idiosincrasici</w:t>
      </w:r>
      <w:proofErr w:type="spellEnd"/>
      <w:r w:rsidRPr="00D10A3D">
        <w:rPr>
          <w:rFonts w:ascii="Calibri" w:hAnsi="Calibri" w:cs="Calibri"/>
          <w:color w:val="000000"/>
          <w:lang w:val="it-IT"/>
        </w:rPr>
        <w:t xml:space="preserve"> e non prevedibili. In ogni caso, i benefici dell’utilizzo appropriato degli IPP sono nettamente superiori ai potenziali rischi.</w:t>
      </w:r>
    </w:p>
    <w:sectPr w:rsidR="006C4501" w:rsidRPr="00D10A3D" w:rsidSect="00D10A3D">
      <w:footerReference w:type="even" r:id="rId7"/>
      <w:footerReference w:type="default" r:id="rId8"/>
      <w:pgSz w:w="11900" w:h="16840"/>
      <w:pgMar w:top="2268" w:right="1701" w:bottom="1701"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62" w:rsidRDefault="00463962" w:rsidP="00B17C87">
      <w:r>
        <w:separator/>
      </w:r>
    </w:p>
  </w:endnote>
  <w:endnote w:type="continuationSeparator" w:id="0">
    <w:p w:rsidR="00463962" w:rsidRDefault="00463962" w:rsidP="00B17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01" w:rsidRDefault="0020433E" w:rsidP="00085BA1">
    <w:pPr>
      <w:pStyle w:val="Pidipagina"/>
      <w:framePr w:wrap="around" w:vAnchor="text" w:hAnchor="margin" w:xAlign="center" w:y="1"/>
      <w:rPr>
        <w:rStyle w:val="Numeropagina"/>
      </w:rPr>
    </w:pPr>
    <w:r>
      <w:rPr>
        <w:rStyle w:val="Numeropagina"/>
      </w:rPr>
      <w:fldChar w:fldCharType="begin"/>
    </w:r>
    <w:r w:rsidR="006C4501">
      <w:rPr>
        <w:rStyle w:val="Numeropagina"/>
      </w:rPr>
      <w:instrText xml:space="preserve">PAGE  </w:instrText>
    </w:r>
    <w:r>
      <w:rPr>
        <w:rStyle w:val="Numeropagina"/>
      </w:rPr>
      <w:fldChar w:fldCharType="end"/>
    </w:r>
  </w:p>
  <w:p w:rsidR="006C4501" w:rsidRDefault="006C45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01" w:rsidRPr="00367B42" w:rsidRDefault="0020433E" w:rsidP="00085BA1">
    <w:pPr>
      <w:pStyle w:val="Pidipagina"/>
      <w:framePr w:wrap="around" w:vAnchor="text" w:hAnchor="margin" w:xAlign="center" w:y="1"/>
      <w:rPr>
        <w:rStyle w:val="Numeropagina"/>
        <w:rFonts w:ascii="Calibri" w:hAnsi="Calibri" w:cs="Calibri"/>
        <w:sz w:val="20"/>
        <w:szCs w:val="20"/>
      </w:rPr>
    </w:pPr>
    <w:r w:rsidRPr="00367B42">
      <w:rPr>
        <w:rStyle w:val="Numeropagina"/>
        <w:rFonts w:ascii="Calibri" w:hAnsi="Calibri" w:cs="Calibri"/>
        <w:sz w:val="20"/>
        <w:szCs w:val="20"/>
      </w:rPr>
      <w:fldChar w:fldCharType="begin"/>
    </w:r>
    <w:r w:rsidR="006C4501" w:rsidRPr="00367B42">
      <w:rPr>
        <w:rStyle w:val="Numeropagina"/>
        <w:rFonts w:ascii="Calibri" w:hAnsi="Calibri" w:cs="Calibri"/>
        <w:sz w:val="20"/>
        <w:szCs w:val="20"/>
      </w:rPr>
      <w:instrText xml:space="preserve">PAGE  </w:instrText>
    </w:r>
    <w:r w:rsidRPr="00367B42">
      <w:rPr>
        <w:rStyle w:val="Numeropagina"/>
        <w:rFonts w:ascii="Calibri" w:hAnsi="Calibri" w:cs="Calibri"/>
        <w:sz w:val="20"/>
        <w:szCs w:val="20"/>
      </w:rPr>
      <w:fldChar w:fldCharType="separate"/>
    </w:r>
    <w:r w:rsidR="00C06599">
      <w:rPr>
        <w:rStyle w:val="Numeropagina"/>
        <w:rFonts w:ascii="Calibri" w:hAnsi="Calibri" w:cs="Calibri"/>
        <w:noProof/>
        <w:sz w:val="20"/>
        <w:szCs w:val="20"/>
      </w:rPr>
      <w:t>8</w:t>
    </w:r>
    <w:r w:rsidRPr="00367B42">
      <w:rPr>
        <w:rStyle w:val="Numeropagina"/>
        <w:rFonts w:ascii="Calibri" w:hAnsi="Calibri" w:cs="Calibri"/>
        <w:sz w:val="20"/>
        <w:szCs w:val="20"/>
      </w:rPr>
      <w:fldChar w:fldCharType="end"/>
    </w:r>
  </w:p>
  <w:p w:rsidR="006C4501" w:rsidRDefault="006C4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62" w:rsidRDefault="00463962" w:rsidP="00B17C87">
      <w:r>
        <w:separator/>
      </w:r>
    </w:p>
  </w:footnote>
  <w:footnote w:type="continuationSeparator" w:id="0">
    <w:p w:rsidR="00463962" w:rsidRDefault="00463962" w:rsidP="00B17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7EF1200"/>
    <w:multiLevelType w:val="hybridMultilevel"/>
    <w:tmpl w:val="4522B9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7809DD"/>
    <w:multiLevelType w:val="hybridMultilevel"/>
    <w:tmpl w:val="4A2C0B10"/>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nsid w:val="096C2E5B"/>
    <w:multiLevelType w:val="hybridMultilevel"/>
    <w:tmpl w:val="3B50F2DA"/>
    <w:lvl w:ilvl="0" w:tplc="2092C98A">
      <w:start w:val="1"/>
      <w:numFmt w:val="bullet"/>
      <w:lvlText w:val=""/>
      <w:lvlJc w:val="left"/>
      <w:pPr>
        <w:tabs>
          <w:tab w:val="num" w:pos="720"/>
        </w:tabs>
        <w:ind w:left="720" w:hanging="360"/>
      </w:pPr>
      <w:rPr>
        <w:rFonts w:ascii="Wingdings" w:hAnsi="Wingdings" w:cs="Wingdings" w:hint="default"/>
      </w:rPr>
    </w:lvl>
    <w:lvl w:ilvl="1" w:tplc="6C709642" w:tentative="1">
      <w:start w:val="1"/>
      <w:numFmt w:val="bullet"/>
      <w:lvlText w:val=""/>
      <w:lvlJc w:val="left"/>
      <w:pPr>
        <w:tabs>
          <w:tab w:val="num" w:pos="1440"/>
        </w:tabs>
        <w:ind w:left="1440" w:hanging="360"/>
      </w:pPr>
      <w:rPr>
        <w:rFonts w:ascii="Wingdings" w:hAnsi="Wingdings" w:cs="Wingdings" w:hint="default"/>
      </w:rPr>
    </w:lvl>
    <w:lvl w:ilvl="2" w:tplc="E9C2795E" w:tentative="1">
      <w:start w:val="1"/>
      <w:numFmt w:val="bullet"/>
      <w:lvlText w:val=""/>
      <w:lvlJc w:val="left"/>
      <w:pPr>
        <w:tabs>
          <w:tab w:val="num" w:pos="2160"/>
        </w:tabs>
        <w:ind w:left="2160" w:hanging="360"/>
      </w:pPr>
      <w:rPr>
        <w:rFonts w:ascii="Wingdings" w:hAnsi="Wingdings" w:cs="Wingdings" w:hint="default"/>
      </w:rPr>
    </w:lvl>
    <w:lvl w:ilvl="3" w:tplc="7F8ED87A" w:tentative="1">
      <w:start w:val="1"/>
      <w:numFmt w:val="bullet"/>
      <w:lvlText w:val=""/>
      <w:lvlJc w:val="left"/>
      <w:pPr>
        <w:tabs>
          <w:tab w:val="num" w:pos="2880"/>
        </w:tabs>
        <w:ind w:left="2880" w:hanging="360"/>
      </w:pPr>
      <w:rPr>
        <w:rFonts w:ascii="Wingdings" w:hAnsi="Wingdings" w:cs="Wingdings" w:hint="default"/>
      </w:rPr>
    </w:lvl>
    <w:lvl w:ilvl="4" w:tplc="80221F92" w:tentative="1">
      <w:start w:val="1"/>
      <w:numFmt w:val="bullet"/>
      <w:lvlText w:val=""/>
      <w:lvlJc w:val="left"/>
      <w:pPr>
        <w:tabs>
          <w:tab w:val="num" w:pos="3600"/>
        </w:tabs>
        <w:ind w:left="3600" w:hanging="360"/>
      </w:pPr>
      <w:rPr>
        <w:rFonts w:ascii="Wingdings" w:hAnsi="Wingdings" w:cs="Wingdings" w:hint="default"/>
      </w:rPr>
    </w:lvl>
    <w:lvl w:ilvl="5" w:tplc="8D741A0E" w:tentative="1">
      <w:start w:val="1"/>
      <w:numFmt w:val="bullet"/>
      <w:lvlText w:val=""/>
      <w:lvlJc w:val="left"/>
      <w:pPr>
        <w:tabs>
          <w:tab w:val="num" w:pos="4320"/>
        </w:tabs>
        <w:ind w:left="4320" w:hanging="360"/>
      </w:pPr>
      <w:rPr>
        <w:rFonts w:ascii="Wingdings" w:hAnsi="Wingdings" w:cs="Wingdings" w:hint="default"/>
      </w:rPr>
    </w:lvl>
    <w:lvl w:ilvl="6" w:tplc="FBB02680" w:tentative="1">
      <w:start w:val="1"/>
      <w:numFmt w:val="bullet"/>
      <w:lvlText w:val=""/>
      <w:lvlJc w:val="left"/>
      <w:pPr>
        <w:tabs>
          <w:tab w:val="num" w:pos="5040"/>
        </w:tabs>
        <w:ind w:left="5040" w:hanging="360"/>
      </w:pPr>
      <w:rPr>
        <w:rFonts w:ascii="Wingdings" w:hAnsi="Wingdings" w:cs="Wingdings" w:hint="default"/>
      </w:rPr>
    </w:lvl>
    <w:lvl w:ilvl="7" w:tplc="82929F96" w:tentative="1">
      <w:start w:val="1"/>
      <w:numFmt w:val="bullet"/>
      <w:lvlText w:val=""/>
      <w:lvlJc w:val="left"/>
      <w:pPr>
        <w:tabs>
          <w:tab w:val="num" w:pos="5760"/>
        </w:tabs>
        <w:ind w:left="5760" w:hanging="360"/>
      </w:pPr>
      <w:rPr>
        <w:rFonts w:ascii="Wingdings" w:hAnsi="Wingdings" w:cs="Wingdings" w:hint="default"/>
      </w:rPr>
    </w:lvl>
    <w:lvl w:ilvl="8" w:tplc="C4EAD65C"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30B31F2"/>
    <w:multiLevelType w:val="hybridMultilevel"/>
    <w:tmpl w:val="80B6544E"/>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41E02A3"/>
    <w:multiLevelType w:val="hybridMultilevel"/>
    <w:tmpl w:val="BD084EE8"/>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84C40CF"/>
    <w:multiLevelType w:val="multilevel"/>
    <w:tmpl w:val="7A4E7A1A"/>
    <w:lvl w:ilvl="0">
      <w:numFmt w:val="bullet"/>
      <w:lvlText w:val="-"/>
      <w:lvlJc w:val="left"/>
      <w:pPr>
        <w:ind w:left="1080" w:hanging="360"/>
      </w:pPr>
      <w:rPr>
        <w:rFonts w:ascii="Calibri" w:eastAsia="Times New Roman"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24377CA4"/>
    <w:multiLevelType w:val="hybridMultilevel"/>
    <w:tmpl w:val="F05E0EF2"/>
    <w:lvl w:ilvl="0" w:tplc="071C19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250145BF"/>
    <w:multiLevelType w:val="multilevel"/>
    <w:tmpl w:val="7A4E7A1A"/>
    <w:lvl w:ilvl="0">
      <w:numFmt w:val="bullet"/>
      <w:lvlText w:val="-"/>
      <w:lvlJc w:val="left"/>
      <w:pPr>
        <w:ind w:left="1080" w:hanging="360"/>
      </w:pPr>
      <w:rPr>
        <w:rFonts w:ascii="Calibri" w:eastAsia="Times New Roman"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38C5282D"/>
    <w:multiLevelType w:val="hybridMultilevel"/>
    <w:tmpl w:val="E8E8A33C"/>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51E4083"/>
    <w:multiLevelType w:val="hybridMultilevel"/>
    <w:tmpl w:val="B5DA0F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6F0940"/>
    <w:multiLevelType w:val="hybridMultilevel"/>
    <w:tmpl w:val="7A4E7A1A"/>
    <w:lvl w:ilvl="0" w:tplc="8766E186">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2">
    <w:nsid w:val="4E196B7D"/>
    <w:multiLevelType w:val="hybridMultilevel"/>
    <w:tmpl w:val="B1709A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995D83"/>
    <w:multiLevelType w:val="hybridMultilevel"/>
    <w:tmpl w:val="8F66D7DC"/>
    <w:lvl w:ilvl="0" w:tplc="A0B82CB0">
      <w:start w:val="1"/>
      <w:numFmt w:val="bullet"/>
      <w:lvlText w:val=""/>
      <w:lvlJc w:val="left"/>
      <w:pPr>
        <w:tabs>
          <w:tab w:val="num" w:pos="720"/>
        </w:tabs>
        <w:ind w:left="720" w:hanging="360"/>
      </w:pPr>
      <w:rPr>
        <w:rFonts w:ascii="Wingdings" w:hAnsi="Wingdings" w:cs="Wingdings" w:hint="default"/>
      </w:rPr>
    </w:lvl>
    <w:lvl w:ilvl="1" w:tplc="C52A7A7C" w:tentative="1">
      <w:start w:val="1"/>
      <w:numFmt w:val="bullet"/>
      <w:lvlText w:val=""/>
      <w:lvlJc w:val="left"/>
      <w:pPr>
        <w:tabs>
          <w:tab w:val="num" w:pos="1440"/>
        </w:tabs>
        <w:ind w:left="1440" w:hanging="360"/>
      </w:pPr>
      <w:rPr>
        <w:rFonts w:ascii="Wingdings" w:hAnsi="Wingdings" w:cs="Wingdings" w:hint="default"/>
      </w:rPr>
    </w:lvl>
    <w:lvl w:ilvl="2" w:tplc="687E0E16" w:tentative="1">
      <w:start w:val="1"/>
      <w:numFmt w:val="bullet"/>
      <w:lvlText w:val=""/>
      <w:lvlJc w:val="left"/>
      <w:pPr>
        <w:tabs>
          <w:tab w:val="num" w:pos="2160"/>
        </w:tabs>
        <w:ind w:left="2160" w:hanging="360"/>
      </w:pPr>
      <w:rPr>
        <w:rFonts w:ascii="Wingdings" w:hAnsi="Wingdings" w:cs="Wingdings" w:hint="default"/>
      </w:rPr>
    </w:lvl>
    <w:lvl w:ilvl="3" w:tplc="BA92FB9A" w:tentative="1">
      <w:start w:val="1"/>
      <w:numFmt w:val="bullet"/>
      <w:lvlText w:val=""/>
      <w:lvlJc w:val="left"/>
      <w:pPr>
        <w:tabs>
          <w:tab w:val="num" w:pos="2880"/>
        </w:tabs>
        <w:ind w:left="2880" w:hanging="360"/>
      </w:pPr>
      <w:rPr>
        <w:rFonts w:ascii="Wingdings" w:hAnsi="Wingdings" w:cs="Wingdings" w:hint="default"/>
      </w:rPr>
    </w:lvl>
    <w:lvl w:ilvl="4" w:tplc="CAC8E87C" w:tentative="1">
      <w:start w:val="1"/>
      <w:numFmt w:val="bullet"/>
      <w:lvlText w:val=""/>
      <w:lvlJc w:val="left"/>
      <w:pPr>
        <w:tabs>
          <w:tab w:val="num" w:pos="3600"/>
        </w:tabs>
        <w:ind w:left="3600" w:hanging="360"/>
      </w:pPr>
      <w:rPr>
        <w:rFonts w:ascii="Wingdings" w:hAnsi="Wingdings" w:cs="Wingdings" w:hint="default"/>
      </w:rPr>
    </w:lvl>
    <w:lvl w:ilvl="5" w:tplc="6B7A7DFA" w:tentative="1">
      <w:start w:val="1"/>
      <w:numFmt w:val="bullet"/>
      <w:lvlText w:val=""/>
      <w:lvlJc w:val="left"/>
      <w:pPr>
        <w:tabs>
          <w:tab w:val="num" w:pos="4320"/>
        </w:tabs>
        <w:ind w:left="4320" w:hanging="360"/>
      </w:pPr>
      <w:rPr>
        <w:rFonts w:ascii="Wingdings" w:hAnsi="Wingdings" w:cs="Wingdings" w:hint="default"/>
      </w:rPr>
    </w:lvl>
    <w:lvl w:ilvl="6" w:tplc="818C7EAC" w:tentative="1">
      <w:start w:val="1"/>
      <w:numFmt w:val="bullet"/>
      <w:lvlText w:val=""/>
      <w:lvlJc w:val="left"/>
      <w:pPr>
        <w:tabs>
          <w:tab w:val="num" w:pos="5040"/>
        </w:tabs>
        <w:ind w:left="5040" w:hanging="360"/>
      </w:pPr>
      <w:rPr>
        <w:rFonts w:ascii="Wingdings" w:hAnsi="Wingdings" w:cs="Wingdings" w:hint="default"/>
      </w:rPr>
    </w:lvl>
    <w:lvl w:ilvl="7" w:tplc="06EE2C8E" w:tentative="1">
      <w:start w:val="1"/>
      <w:numFmt w:val="bullet"/>
      <w:lvlText w:val=""/>
      <w:lvlJc w:val="left"/>
      <w:pPr>
        <w:tabs>
          <w:tab w:val="num" w:pos="5760"/>
        </w:tabs>
        <w:ind w:left="5760" w:hanging="360"/>
      </w:pPr>
      <w:rPr>
        <w:rFonts w:ascii="Wingdings" w:hAnsi="Wingdings" w:cs="Wingdings" w:hint="default"/>
      </w:rPr>
    </w:lvl>
    <w:lvl w:ilvl="8" w:tplc="B7861C24"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4E64F24"/>
    <w:multiLevelType w:val="hybridMultilevel"/>
    <w:tmpl w:val="D5F23C74"/>
    <w:lvl w:ilvl="0" w:tplc="9B3CD090">
      <w:start w:val="1"/>
      <w:numFmt w:val="bullet"/>
      <w:lvlText w:val=""/>
      <w:lvlJc w:val="left"/>
      <w:pPr>
        <w:tabs>
          <w:tab w:val="num" w:pos="720"/>
        </w:tabs>
        <w:ind w:left="720" w:hanging="360"/>
      </w:pPr>
      <w:rPr>
        <w:rFonts w:ascii="Wingdings" w:hAnsi="Wingdings" w:cs="Wingdings" w:hint="default"/>
      </w:rPr>
    </w:lvl>
    <w:lvl w:ilvl="1" w:tplc="C0CC004A" w:tentative="1">
      <w:start w:val="1"/>
      <w:numFmt w:val="bullet"/>
      <w:lvlText w:val=""/>
      <w:lvlJc w:val="left"/>
      <w:pPr>
        <w:tabs>
          <w:tab w:val="num" w:pos="1440"/>
        </w:tabs>
        <w:ind w:left="1440" w:hanging="360"/>
      </w:pPr>
      <w:rPr>
        <w:rFonts w:ascii="Wingdings" w:hAnsi="Wingdings" w:cs="Wingdings" w:hint="default"/>
      </w:rPr>
    </w:lvl>
    <w:lvl w:ilvl="2" w:tplc="5FA0EE54" w:tentative="1">
      <w:start w:val="1"/>
      <w:numFmt w:val="bullet"/>
      <w:lvlText w:val=""/>
      <w:lvlJc w:val="left"/>
      <w:pPr>
        <w:tabs>
          <w:tab w:val="num" w:pos="2160"/>
        </w:tabs>
        <w:ind w:left="2160" w:hanging="360"/>
      </w:pPr>
      <w:rPr>
        <w:rFonts w:ascii="Wingdings" w:hAnsi="Wingdings" w:cs="Wingdings" w:hint="default"/>
      </w:rPr>
    </w:lvl>
    <w:lvl w:ilvl="3" w:tplc="A6FEEB2C" w:tentative="1">
      <w:start w:val="1"/>
      <w:numFmt w:val="bullet"/>
      <w:lvlText w:val=""/>
      <w:lvlJc w:val="left"/>
      <w:pPr>
        <w:tabs>
          <w:tab w:val="num" w:pos="2880"/>
        </w:tabs>
        <w:ind w:left="2880" w:hanging="360"/>
      </w:pPr>
      <w:rPr>
        <w:rFonts w:ascii="Wingdings" w:hAnsi="Wingdings" w:cs="Wingdings" w:hint="default"/>
      </w:rPr>
    </w:lvl>
    <w:lvl w:ilvl="4" w:tplc="7F602B80" w:tentative="1">
      <w:start w:val="1"/>
      <w:numFmt w:val="bullet"/>
      <w:lvlText w:val=""/>
      <w:lvlJc w:val="left"/>
      <w:pPr>
        <w:tabs>
          <w:tab w:val="num" w:pos="3600"/>
        </w:tabs>
        <w:ind w:left="3600" w:hanging="360"/>
      </w:pPr>
      <w:rPr>
        <w:rFonts w:ascii="Wingdings" w:hAnsi="Wingdings" w:cs="Wingdings" w:hint="default"/>
      </w:rPr>
    </w:lvl>
    <w:lvl w:ilvl="5" w:tplc="1C3A37AA" w:tentative="1">
      <w:start w:val="1"/>
      <w:numFmt w:val="bullet"/>
      <w:lvlText w:val=""/>
      <w:lvlJc w:val="left"/>
      <w:pPr>
        <w:tabs>
          <w:tab w:val="num" w:pos="4320"/>
        </w:tabs>
        <w:ind w:left="4320" w:hanging="360"/>
      </w:pPr>
      <w:rPr>
        <w:rFonts w:ascii="Wingdings" w:hAnsi="Wingdings" w:cs="Wingdings" w:hint="default"/>
      </w:rPr>
    </w:lvl>
    <w:lvl w:ilvl="6" w:tplc="FDAE9BD6" w:tentative="1">
      <w:start w:val="1"/>
      <w:numFmt w:val="bullet"/>
      <w:lvlText w:val=""/>
      <w:lvlJc w:val="left"/>
      <w:pPr>
        <w:tabs>
          <w:tab w:val="num" w:pos="5040"/>
        </w:tabs>
        <w:ind w:left="5040" w:hanging="360"/>
      </w:pPr>
      <w:rPr>
        <w:rFonts w:ascii="Wingdings" w:hAnsi="Wingdings" w:cs="Wingdings" w:hint="default"/>
      </w:rPr>
    </w:lvl>
    <w:lvl w:ilvl="7" w:tplc="FD740A44" w:tentative="1">
      <w:start w:val="1"/>
      <w:numFmt w:val="bullet"/>
      <w:lvlText w:val=""/>
      <w:lvlJc w:val="left"/>
      <w:pPr>
        <w:tabs>
          <w:tab w:val="num" w:pos="5760"/>
        </w:tabs>
        <w:ind w:left="5760" w:hanging="360"/>
      </w:pPr>
      <w:rPr>
        <w:rFonts w:ascii="Wingdings" w:hAnsi="Wingdings" w:cs="Wingdings" w:hint="default"/>
      </w:rPr>
    </w:lvl>
    <w:lvl w:ilvl="8" w:tplc="206E7682"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9FB2FC8"/>
    <w:multiLevelType w:val="hybridMultilevel"/>
    <w:tmpl w:val="874283BE"/>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6">
    <w:nsid w:val="650A00D1"/>
    <w:multiLevelType w:val="hybridMultilevel"/>
    <w:tmpl w:val="DDB61E9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7">
    <w:nsid w:val="681C4504"/>
    <w:multiLevelType w:val="hybridMultilevel"/>
    <w:tmpl w:val="B1709A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6058E2"/>
    <w:multiLevelType w:val="hybridMultilevel"/>
    <w:tmpl w:val="4D2053D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6EED56A5"/>
    <w:multiLevelType w:val="hybridMultilevel"/>
    <w:tmpl w:val="9F144EB6"/>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7C465AF3"/>
    <w:multiLevelType w:val="multilevel"/>
    <w:tmpl w:val="7A4E7A1A"/>
    <w:lvl w:ilvl="0">
      <w:numFmt w:val="bullet"/>
      <w:lvlText w:val="-"/>
      <w:lvlJc w:val="left"/>
      <w:pPr>
        <w:ind w:left="1080" w:hanging="360"/>
      </w:pPr>
      <w:rPr>
        <w:rFonts w:ascii="Calibri" w:eastAsia="Times New Roman"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7C687CD4"/>
    <w:multiLevelType w:val="hybridMultilevel"/>
    <w:tmpl w:val="68723A5E"/>
    <w:lvl w:ilvl="0" w:tplc="EFB0E1E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4"/>
  </w:num>
  <w:num w:numId="3">
    <w:abstractNumId w:val="13"/>
  </w:num>
  <w:num w:numId="4">
    <w:abstractNumId w:val="1"/>
  </w:num>
  <w:num w:numId="5">
    <w:abstractNumId w:val="11"/>
  </w:num>
  <w:num w:numId="6">
    <w:abstractNumId w:val="7"/>
  </w:num>
  <w:num w:numId="7">
    <w:abstractNumId w:val="12"/>
  </w:num>
  <w:num w:numId="8">
    <w:abstractNumId w:val="17"/>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8"/>
  </w:num>
  <w:num w:numId="18">
    <w:abstractNumId w:val="4"/>
  </w:num>
  <w:num w:numId="19">
    <w:abstractNumId w:val="16"/>
  </w:num>
  <w:num w:numId="20">
    <w:abstractNumId w:val="6"/>
  </w:num>
  <w:num w:numId="21">
    <w:abstractNumId w:val="2"/>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proofState w:spelling="clean"/>
  <w:doNotTrackMove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 w:name="EN.Layout" w:val="&lt;ENLayout&gt;&lt;Style&gt;Digestive Liver Diseas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wdwarrtdsrwse2pt8v2wdmpae09f2dxvpa&quot;&gt;ppi references-Saved&lt;record-ids&gt;&lt;item&gt;1&lt;/item&gt;&lt;item&gt;2&lt;/item&gt;&lt;item&gt;3&lt;/item&gt;&lt;item&gt;4&lt;/item&gt;&lt;item&gt;5&lt;/item&gt;&lt;item&gt;7&lt;/item&gt;&lt;item&gt;8&lt;/item&gt;&lt;item&gt;9&lt;/item&gt;&lt;item&gt;10&lt;/item&gt;&lt;item&gt;12&lt;/item&gt;&lt;item&gt;13&lt;/item&gt;&lt;item&gt;14&lt;/item&gt;&lt;item&gt;15&lt;/item&gt;&lt;item&gt;16&lt;/item&gt;&lt;item&gt;19&lt;/item&gt;&lt;item&gt;23&lt;/item&gt;&lt;item&gt;24&lt;/item&gt;&lt;item&gt;27&lt;/item&gt;&lt;item&gt;29&lt;/item&gt;&lt;item&gt;31&lt;/item&gt;&lt;item&gt;39&lt;/item&gt;&lt;item&gt;40&lt;/item&gt;&lt;item&gt;46&lt;/item&gt;&lt;item&gt;54&lt;/item&gt;&lt;item&gt;56&lt;/item&gt;&lt;item&gt;57&lt;/item&gt;&lt;item&gt;58&lt;/item&gt;&lt;item&gt;59&lt;/item&gt;&lt;item&gt;60&lt;/item&gt;&lt;item&gt;61&lt;/item&gt;&lt;item&gt;65&lt;/item&gt;&lt;item&gt;75&lt;/item&gt;&lt;item&gt;76&lt;/item&gt;&lt;item&gt;77&lt;/item&gt;&lt;item&gt;78&lt;/item&gt;&lt;item&gt;79&lt;/item&gt;&lt;item&gt;81&lt;/item&gt;&lt;item&gt;82&lt;/item&gt;&lt;item&gt;83&lt;/item&gt;&lt;item&gt;84&lt;/item&gt;&lt;item&gt;85&lt;/item&gt;&lt;item&gt;86&lt;/item&gt;&lt;item&gt;90&lt;/item&gt;&lt;item&gt;97&lt;/item&gt;&lt;item&gt;100&lt;/item&gt;&lt;item&gt;102&lt;/item&gt;&lt;item&gt;103&lt;/item&gt;&lt;item&gt;104&lt;/item&gt;&lt;item&gt;105&lt;/item&gt;&lt;item&gt;106&lt;/item&gt;&lt;item&gt;108&lt;/item&gt;&lt;item&gt;111&lt;/item&gt;&lt;item&gt;112&lt;/item&gt;&lt;item&gt;113&lt;/item&gt;&lt;item&gt;114&lt;/item&gt;&lt;item&gt;115&lt;/item&gt;&lt;item&gt;118&lt;/item&gt;&lt;item&gt;119&lt;/item&gt;&lt;item&gt;125&lt;/item&gt;&lt;item&gt;144&lt;/item&gt;&lt;item&gt;145&lt;/item&gt;&lt;item&gt;150&lt;/item&gt;&lt;item&gt;152&lt;/item&gt;&lt;item&gt;153&lt;/item&gt;&lt;item&gt;154&lt;/item&gt;&lt;item&gt;157&lt;/item&gt;&lt;item&gt;159&lt;/item&gt;&lt;item&gt;162&lt;/item&gt;&lt;item&gt;166&lt;/item&gt;&lt;item&gt;171&lt;/item&gt;&lt;item&gt;172&lt;/item&gt;&lt;item&gt;175&lt;/item&gt;&lt;item&gt;176&lt;/item&gt;&lt;item&gt;182&lt;/item&gt;&lt;item&gt;188&lt;/item&gt;&lt;item&gt;242&lt;/item&gt;&lt;item&gt;248&lt;/item&gt;&lt;item&gt;249&lt;/item&gt;&lt;item&gt;272&lt;/item&gt;&lt;item&gt;273&lt;/item&gt;&lt;item&gt;274&lt;/item&gt;&lt;item&gt;275&lt;/item&gt;&lt;item&gt;276&lt;/item&gt;&lt;item&gt;277&lt;/item&gt;&lt;item&gt;278&lt;/item&gt;&lt;item&gt;280&lt;/item&gt;&lt;item&gt;281&lt;/item&gt;&lt;item&gt;282&lt;/item&gt;&lt;item&gt;283&lt;/item&gt;&lt;item&gt;285&lt;/item&gt;&lt;item&gt;286&lt;/item&gt;&lt;item&gt;287&lt;/item&gt;&lt;item&gt;288&lt;/item&gt;&lt;item&gt;289&lt;/item&gt;&lt;item&gt;290&lt;/item&gt;&lt;item&gt;291&lt;/item&gt;&lt;item&gt;293&lt;/item&gt;&lt;item&gt;295&lt;/item&gt;&lt;item&gt;296&lt;/item&gt;&lt;item&gt;297&lt;/item&gt;&lt;item&gt;299&lt;/item&gt;&lt;item&gt;302&lt;/item&gt;&lt;item&gt;303&lt;/item&gt;&lt;item&gt;304&lt;/item&gt;&lt;item&gt;305&lt;/item&gt;&lt;item&gt;306&lt;/item&gt;&lt;item&gt;307&lt;/item&gt;&lt;item&gt;313&lt;/item&gt;&lt;item&gt;326&lt;/item&gt;&lt;item&gt;339&lt;/item&gt;&lt;item&gt;340&lt;/item&gt;&lt;item&gt;342&lt;/item&gt;&lt;item&gt;350&lt;/item&gt;&lt;item&gt;388&lt;/item&gt;&lt;item&gt;432&lt;/item&gt;&lt;item&gt;503&lt;/item&gt;&lt;item&gt;504&lt;/item&gt;&lt;item&gt;505&lt;/item&gt;&lt;item&gt;506&lt;/item&gt;&lt;item&gt;508&lt;/item&gt;&lt;item&gt;524&lt;/item&gt;&lt;item&gt;545&lt;/item&gt;&lt;item&gt;546&lt;/item&gt;&lt;item&gt;551&lt;/item&gt;&lt;item&gt;553&lt;/item&gt;&lt;item&gt;559&lt;/item&gt;&lt;item&gt;562&lt;/item&gt;&lt;item&gt;565&lt;/item&gt;&lt;item&gt;622&lt;/item&gt;&lt;item&gt;623&lt;/item&gt;&lt;item&gt;624&lt;/item&gt;&lt;item&gt;625&lt;/item&gt;&lt;item&gt;633&lt;/item&gt;&lt;item&gt;634&lt;/item&gt;&lt;item&gt;641&lt;/item&gt;&lt;item&gt;643&lt;/item&gt;&lt;item&gt;646&lt;/item&gt;&lt;item&gt;647&lt;/item&gt;&lt;item&gt;648&lt;/item&gt;&lt;item&gt;665&lt;/item&gt;&lt;item&gt;666&lt;/item&gt;&lt;/record-ids&gt;&lt;/item&gt;&lt;/Libraries&gt;"/>
  </w:docVars>
  <w:rsids>
    <w:rsidRoot w:val="00C56453"/>
    <w:rsid w:val="00001140"/>
    <w:rsid w:val="00002378"/>
    <w:rsid w:val="00007D55"/>
    <w:rsid w:val="000103F4"/>
    <w:rsid w:val="000160CE"/>
    <w:rsid w:val="0002113F"/>
    <w:rsid w:val="00021748"/>
    <w:rsid w:val="00026B16"/>
    <w:rsid w:val="00027F7D"/>
    <w:rsid w:val="000353A3"/>
    <w:rsid w:val="000354CC"/>
    <w:rsid w:val="0004135C"/>
    <w:rsid w:val="00047E15"/>
    <w:rsid w:val="0005129C"/>
    <w:rsid w:val="000532A0"/>
    <w:rsid w:val="0005378F"/>
    <w:rsid w:val="00053B5B"/>
    <w:rsid w:val="00061E2A"/>
    <w:rsid w:val="000625DB"/>
    <w:rsid w:val="00062A8B"/>
    <w:rsid w:val="0007506B"/>
    <w:rsid w:val="00077A64"/>
    <w:rsid w:val="00082619"/>
    <w:rsid w:val="00085BA1"/>
    <w:rsid w:val="00092F6B"/>
    <w:rsid w:val="000A1A7B"/>
    <w:rsid w:val="000A2C8D"/>
    <w:rsid w:val="000A6136"/>
    <w:rsid w:val="000A6B21"/>
    <w:rsid w:val="000D0B3F"/>
    <w:rsid w:val="000D1444"/>
    <w:rsid w:val="00107A8F"/>
    <w:rsid w:val="00110906"/>
    <w:rsid w:val="0011212C"/>
    <w:rsid w:val="00113698"/>
    <w:rsid w:val="00115618"/>
    <w:rsid w:val="00116842"/>
    <w:rsid w:val="0011703F"/>
    <w:rsid w:val="001200A9"/>
    <w:rsid w:val="0012121F"/>
    <w:rsid w:val="001216CB"/>
    <w:rsid w:val="00122F61"/>
    <w:rsid w:val="00123A10"/>
    <w:rsid w:val="00141660"/>
    <w:rsid w:val="0015281D"/>
    <w:rsid w:val="00155C62"/>
    <w:rsid w:val="00164CA0"/>
    <w:rsid w:val="00172BF6"/>
    <w:rsid w:val="001763A8"/>
    <w:rsid w:val="00176FD1"/>
    <w:rsid w:val="001804F4"/>
    <w:rsid w:val="00182A20"/>
    <w:rsid w:val="0019088F"/>
    <w:rsid w:val="00196E1F"/>
    <w:rsid w:val="001A024B"/>
    <w:rsid w:val="001A1CF4"/>
    <w:rsid w:val="001A38F9"/>
    <w:rsid w:val="001A3D4F"/>
    <w:rsid w:val="001A7635"/>
    <w:rsid w:val="001B1A69"/>
    <w:rsid w:val="001B315A"/>
    <w:rsid w:val="001B5B8F"/>
    <w:rsid w:val="001B7497"/>
    <w:rsid w:val="001C0584"/>
    <w:rsid w:val="001D10A8"/>
    <w:rsid w:val="001D3598"/>
    <w:rsid w:val="001D3BF3"/>
    <w:rsid w:val="001D4660"/>
    <w:rsid w:val="001E1922"/>
    <w:rsid w:val="001E6586"/>
    <w:rsid w:val="001F30B2"/>
    <w:rsid w:val="001F6D23"/>
    <w:rsid w:val="0020083C"/>
    <w:rsid w:val="0020433E"/>
    <w:rsid w:val="00204878"/>
    <w:rsid w:val="00210B45"/>
    <w:rsid w:val="00212275"/>
    <w:rsid w:val="00217981"/>
    <w:rsid w:val="0022020C"/>
    <w:rsid w:val="0023332A"/>
    <w:rsid w:val="00233FD2"/>
    <w:rsid w:val="00236956"/>
    <w:rsid w:val="00240061"/>
    <w:rsid w:val="00240BD3"/>
    <w:rsid w:val="00250B70"/>
    <w:rsid w:val="00260AED"/>
    <w:rsid w:val="00263DDA"/>
    <w:rsid w:val="002715EE"/>
    <w:rsid w:val="002742A2"/>
    <w:rsid w:val="0028075D"/>
    <w:rsid w:val="00283659"/>
    <w:rsid w:val="00284011"/>
    <w:rsid w:val="00291A98"/>
    <w:rsid w:val="0029217A"/>
    <w:rsid w:val="00292D64"/>
    <w:rsid w:val="002963EC"/>
    <w:rsid w:val="002974B6"/>
    <w:rsid w:val="00297B5A"/>
    <w:rsid w:val="002B2217"/>
    <w:rsid w:val="002B25EF"/>
    <w:rsid w:val="002C1374"/>
    <w:rsid w:val="002C5212"/>
    <w:rsid w:val="002D0EC8"/>
    <w:rsid w:val="002D65F9"/>
    <w:rsid w:val="002E04CD"/>
    <w:rsid w:val="002E118F"/>
    <w:rsid w:val="002E12FF"/>
    <w:rsid w:val="002E29BB"/>
    <w:rsid w:val="002E2AF4"/>
    <w:rsid w:val="002E3AF1"/>
    <w:rsid w:val="002F6003"/>
    <w:rsid w:val="002F7F16"/>
    <w:rsid w:val="003033E9"/>
    <w:rsid w:val="00304140"/>
    <w:rsid w:val="00313AD8"/>
    <w:rsid w:val="0031540D"/>
    <w:rsid w:val="00315F22"/>
    <w:rsid w:val="00316626"/>
    <w:rsid w:val="00317E02"/>
    <w:rsid w:val="00323719"/>
    <w:rsid w:val="00324B70"/>
    <w:rsid w:val="00331B69"/>
    <w:rsid w:val="00333253"/>
    <w:rsid w:val="003344C3"/>
    <w:rsid w:val="00336E69"/>
    <w:rsid w:val="00340257"/>
    <w:rsid w:val="00341203"/>
    <w:rsid w:val="0034195C"/>
    <w:rsid w:val="00350C14"/>
    <w:rsid w:val="00350E64"/>
    <w:rsid w:val="00354E64"/>
    <w:rsid w:val="00357298"/>
    <w:rsid w:val="00361D8D"/>
    <w:rsid w:val="00364792"/>
    <w:rsid w:val="00364FDA"/>
    <w:rsid w:val="00367B42"/>
    <w:rsid w:val="00370C83"/>
    <w:rsid w:val="00371C06"/>
    <w:rsid w:val="00375A47"/>
    <w:rsid w:val="00376A07"/>
    <w:rsid w:val="003807AB"/>
    <w:rsid w:val="00386864"/>
    <w:rsid w:val="00387D64"/>
    <w:rsid w:val="00392117"/>
    <w:rsid w:val="0039437C"/>
    <w:rsid w:val="003A38A8"/>
    <w:rsid w:val="003A5EE1"/>
    <w:rsid w:val="003A71E9"/>
    <w:rsid w:val="003B06C5"/>
    <w:rsid w:val="003B1680"/>
    <w:rsid w:val="003B1F56"/>
    <w:rsid w:val="003B2C96"/>
    <w:rsid w:val="003C08E2"/>
    <w:rsid w:val="003C13F8"/>
    <w:rsid w:val="003C276C"/>
    <w:rsid w:val="003C36AD"/>
    <w:rsid w:val="003C3776"/>
    <w:rsid w:val="003D378C"/>
    <w:rsid w:val="003D3F04"/>
    <w:rsid w:val="003E72A4"/>
    <w:rsid w:val="003E7C68"/>
    <w:rsid w:val="003F2E8C"/>
    <w:rsid w:val="003F49F2"/>
    <w:rsid w:val="0040091B"/>
    <w:rsid w:val="00406BCC"/>
    <w:rsid w:val="00406DC2"/>
    <w:rsid w:val="004079B1"/>
    <w:rsid w:val="004110E3"/>
    <w:rsid w:val="004121C5"/>
    <w:rsid w:val="00412719"/>
    <w:rsid w:val="00412BE5"/>
    <w:rsid w:val="00413FA1"/>
    <w:rsid w:val="00414181"/>
    <w:rsid w:val="00414A20"/>
    <w:rsid w:val="00417ECA"/>
    <w:rsid w:val="00426A41"/>
    <w:rsid w:val="00432825"/>
    <w:rsid w:val="0044196D"/>
    <w:rsid w:val="00446F5D"/>
    <w:rsid w:val="0045425A"/>
    <w:rsid w:val="00463962"/>
    <w:rsid w:val="004665BE"/>
    <w:rsid w:val="0047126E"/>
    <w:rsid w:val="00472650"/>
    <w:rsid w:val="004742ED"/>
    <w:rsid w:val="0047615A"/>
    <w:rsid w:val="004823AF"/>
    <w:rsid w:val="00485DFB"/>
    <w:rsid w:val="004914F6"/>
    <w:rsid w:val="00495845"/>
    <w:rsid w:val="00496D4C"/>
    <w:rsid w:val="004A1D3F"/>
    <w:rsid w:val="004A3CCA"/>
    <w:rsid w:val="004B6BF9"/>
    <w:rsid w:val="004C3985"/>
    <w:rsid w:val="004D1BE7"/>
    <w:rsid w:val="004E087F"/>
    <w:rsid w:val="004E26DB"/>
    <w:rsid w:val="004E5569"/>
    <w:rsid w:val="004E638C"/>
    <w:rsid w:val="004F078F"/>
    <w:rsid w:val="00500FD8"/>
    <w:rsid w:val="00502E11"/>
    <w:rsid w:val="005031DB"/>
    <w:rsid w:val="00515543"/>
    <w:rsid w:val="00516B08"/>
    <w:rsid w:val="00520524"/>
    <w:rsid w:val="00520D7E"/>
    <w:rsid w:val="00525B4E"/>
    <w:rsid w:val="00530EE8"/>
    <w:rsid w:val="0053497E"/>
    <w:rsid w:val="00543875"/>
    <w:rsid w:val="0054464D"/>
    <w:rsid w:val="005470F9"/>
    <w:rsid w:val="00550C2A"/>
    <w:rsid w:val="005511F8"/>
    <w:rsid w:val="005550DC"/>
    <w:rsid w:val="00555E8B"/>
    <w:rsid w:val="005566B4"/>
    <w:rsid w:val="00565E7B"/>
    <w:rsid w:val="00566722"/>
    <w:rsid w:val="00572567"/>
    <w:rsid w:val="00575C53"/>
    <w:rsid w:val="00586B39"/>
    <w:rsid w:val="00590D05"/>
    <w:rsid w:val="00597385"/>
    <w:rsid w:val="005A1466"/>
    <w:rsid w:val="005B09AE"/>
    <w:rsid w:val="005B1C0C"/>
    <w:rsid w:val="005C1777"/>
    <w:rsid w:val="005C1B80"/>
    <w:rsid w:val="005D0DAB"/>
    <w:rsid w:val="005D228D"/>
    <w:rsid w:val="005D3C94"/>
    <w:rsid w:val="005D4B94"/>
    <w:rsid w:val="005E159C"/>
    <w:rsid w:val="005E5B54"/>
    <w:rsid w:val="005F18C9"/>
    <w:rsid w:val="005F4DFE"/>
    <w:rsid w:val="005F73F3"/>
    <w:rsid w:val="006035C5"/>
    <w:rsid w:val="00604142"/>
    <w:rsid w:val="00615029"/>
    <w:rsid w:val="00615FCE"/>
    <w:rsid w:val="00624BFE"/>
    <w:rsid w:val="0063223E"/>
    <w:rsid w:val="00634454"/>
    <w:rsid w:val="0063604A"/>
    <w:rsid w:val="00640AAD"/>
    <w:rsid w:val="00646516"/>
    <w:rsid w:val="006479A6"/>
    <w:rsid w:val="00656010"/>
    <w:rsid w:val="00665A02"/>
    <w:rsid w:val="00671BDA"/>
    <w:rsid w:val="00671EDD"/>
    <w:rsid w:val="006920E0"/>
    <w:rsid w:val="00696C6F"/>
    <w:rsid w:val="006A7C74"/>
    <w:rsid w:val="006B0096"/>
    <w:rsid w:val="006B23D0"/>
    <w:rsid w:val="006B6F7E"/>
    <w:rsid w:val="006C4501"/>
    <w:rsid w:val="006C7324"/>
    <w:rsid w:val="006D18FD"/>
    <w:rsid w:val="006D3577"/>
    <w:rsid w:val="006D39C4"/>
    <w:rsid w:val="006D3C3F"/>
    <w:rsid w:val="006E1005"/>
    <w:rsid w:val="006E6203"/>
    <w:rsid w:val="006F47AA"/>
    <w:rsid w:val="00705BF6"/>
    <w:rsid w:val="007068A4"/>
    <w:rsid w:val="00711806"/>
    <w:rsid w:val="00713B89"/>
    <w:rsid w:val="00715B1F"/>
    <w:rsid w:val="00717597"/>
    <w:rsid w:val="0072566E"/>
    <w:rsid w:val="00727932"/>
    <w:rsid w:val="00733206"/>
    <w:rsid w:val="00736B27"/>
    <w:rsid w:val="00740F31"/>
    <w:rsid w:val="00744C82"/>
    <w:rsid w:val="00746A3D"/>
    <w:rsid w:val="00755CE5"/>
    <w:rsid w:val="007624A9"/>
    <w:rsid w:val="00764FC6"/>
    <w:rsid w:val="00770401"/>
    <w:rsid w:val="007713B8"/>
    <w:rsid w:val="00772527"/>
    <w:rsid w:val="007836A6"/>
    <w:rsid w:val="007900B9"/>
    <w:rsid w:val="00792786"/>
    <w:rsid w:val="007A7D84"/>
    <w:rsid w:val="007B2D5A"/>
    <w:rsid w:val="007C32B3"/>
    <w:rsid w:val="007C7950"/>
    <w:rsid w:val="007D17E8"/>
    <w:rsid w:val="007E2D86"/>
    <w:rsid w:val="007E5B65"/>
    <w:rsid w:val="007E6911"/>
    <w:rsid w:val="007E6D44"/>
    <w:rsid w:val="007F00F6"/>
    <w:rsid w:val="007F478D"/>
    <w:rsid w:val="007F4B5D"/>
    <w:rsid w:val="007F6A96"/>
    <w:rsid w:val="007F7410"/>
    <w:rsid w:val="00800B0A"/>
    <w:rsid w:val="008043C8"/>
    <w:rsid w:val="0080572D"/>
    <w:rsid w:val="0080602D"/>
    <w:rsid w:val="00806A07"/>
    <w:rsid w:val="00813E7F"/>
    <w:rsid w:val="00823860"/>
    <w:rsid w:val="00826BCA"/>
    <w:rsid w:val="0083407B"/>
    <w:rsid w:val="0083442B"/>
    <w:rsid w:val="00836162"/>
    <w:rsid w:val="00843EDF"/>
    <w:rsid w:val="00854D77"/>
    <w:rsid w:val="00856253"/>
    <w:rsid w:val="0086004B"/>
    <w:rsid w:val="00860545"/>
    <w:rsid w:val="00862738"/>
    <w:rsid w:val="00865753"/>
    <w:rsid w:val="00873583"/>
    <w:rsid w:val="008751B8"/>
    <w:rsid w:val="00880CCE"/>
    <w:rsid w:val="00895553"/>
    <w:rsid w:val="008A2CBE"/>
    <w:rsid w:val="008A650A"/>
    <w:rsid w:val="008A7484"/>
    <w:rsid w:val="008A74CE"/>
    <w:rsid w:val="008C65B9"/>
    <w:rsid w:val="008C6650"/>
    <w:rsid w:val="008D1D16"/>
    <w:rsid w:val="008D2C2A"/>
    <w:rsid w:val="008D39EF"/>
    <w:rsid w:val="008D3BDC"/>
    <w:rsid w:val="008F3EF7"/>
    <w:rsid w:val="009005DC"/>
    <w:rsid w:val="0090724F"/>
    <w:rsid w:val="009106C5"/>
    <w:rsid w:val="009123A1"/>
    <w:rsid w:val="0091395D"/>
    <w:rsid w:val="00915089"/>
    <w:rsid w:val="00920085"/>
    <w:rsid w:val="00923482"/>
    <w:rsid w:val="00924423"/>
    <w:rsid w:val="009277FC"/>
    <w:rsid w:val="00937577"/>
    <w:rsid w:val="00942AA6"/>
    <w:rsid w:val="009440E0"/>
    <w:rsid w:val="009639B1"/>
    <w:rsid w:val="00964744"/>
    <w:rsid w:val="00981E7C"/>
    <w:rsid w:val="00985049"/>
    <w:rsid w:val="0099199C"/>
    <w:rsid w:val="009944FA"/>
    <w:rsid w:val="009A1D9A"/>
    <w:rsid w:val="009A2FA8"/>
    <w:rsid w:val="009A419A"/>
    <w:rsid w:val="009A6AF0"/>
    <w:rsid w:val="009B0336"/>
    <w:rsid w:val="009B7C05"/>
    <w:rsid w:val="009C1ADE"/>
    <w:rsid w:val="009C382C"/>
    <w:rsid w:val="009C401F"/>
    <w:rsid w:val="009C429B"/>
    <w:rsid w:val="009C4F7F"/>
    <w:rsid w:val="009D0473"/>
    <w:rsid w:val="009D0833"/>
    <w:rsid w:val="009D563F"/>
    <w:rsid w:val="009D60AC"/>
    <w:rsid w:val="009D6230"/>
    <w:rsid w:val="009E34BD"/>
    <w:rsid w:val="009F05AD"/>
    <w:rsid w:val="009F116B"/>
    <w:rsid w:val="009F12BD"/>
    <w:rsid w:val="009F3DD0"/>
    <w:rsid w:val="00A121BC"/>
    <w:rsid w:val="00A12C38"/>
    <w:rsid w:val="00A264F3"/>
    <w:rsid w:val="00A320A9"/>
    <w:rsid w:val="00A32808"/>
    <w:rsid w:val="00A32AD2"/>
    <w:rsid w:val="00A33208"/>
    <w:rsid w:val="00A34B89"/>
    <w:rsid w:val="00A35D15"/>
    <w:rsid w:val="00A36AA1"/>
    <w:rsid w:val="00A425C2"/>
    <w:rsid w:val="00A46B7A"/>
    <w:rsid w:val="00A516CA"/>
    <w:rsid w:val="00A553FB"/>
    <w:rsid w:val="00A61AA7"/>
    <w:rsid w:val="00A75969"/>
    <w:rsid w:val="00A7662A"/>
    <w:rsid w:val="00A927DD"/>
    <w:rsid w:val="00A9489A"/>
    <w:rsid w:val="00A953E1"/>
    <w:rsid w:val="00AA6D52"/>
    <w:rsid w:val="00AA7C3F"/>
    <w:rsid w:val="00AB35F5"/>
    <w:rsid w:val="00AB3C0B"/>
    <w:rsid w:val="00AB5746"/>
    <w:rsid w:val="00AC1A63"/>
    <w:rsid w:val="00AC1DC4"/>
    <w:rsid w:val="00AC793C"/>
    <w:rsid w:val="00AD5E09"/>
    <w:rsid w:val="00AD60EA"/>
    <w:rsid w:val="00AD7523"/>
    <w:rsid w:val="00AE1505"/>
    <w:rsid w:val="00AE4E0E"/>
    <w:rsid w:val="00AE78DD"/>
    <w:rsid w:val="00AF04C9"/>
    <w:rsid w:val="00AF2301"/>
    <w:rsid w:val="00B01611"/>
    <w:rsid w:val="00B05F27"/>
    <w:rsid w:val="00B111DD"/>
    <w:rsid w:val="00B13138"/>
    <w:rsid w:val="00B15B49"/>
    <w:rsid w:val="00B17C87"/>
    <w:rsid w:val="00B2330E"/>
    <w:rsid w:val="00B23403"/>
    <w:rsid w:val="00B24F70"/>
    <w:rsid w:val="00B25625"/>
    <w:rsid w:val="00B25BC1"/>
    <w:rsid w:val="00B26A95"/>
    <w:rsid w:val="00B27EF6"/>
    <w:rsid w:val="00B3185F"/>
    <w:rsid w:val="00B37970"/>
    <w:rsid w:val="00B417E4"/>
    <w:rsid w:val="00B4505C"/>
    <w:rsid w:val="00B45607"/>
    <w:rsid w:val="00B53CC2"/>
    <w:rsid w:val="00B561BA"/>
    <w:rsid w:val="00B61750"/>
    <w:rsid w:val="00B624F8"/>
    <w:rsid w:val="00B634D7"/>
    <w:rsid w:val="00B65715"/>
    <w:rsid w:val="00B665B4"/>
    <w:rsid w:val="00B73195"/>
    <w:rsid w:val="00B74F54"/>
    <w:rsid w:val="00B764CE"/>
    <w:rsid w:val="00B766BD"/>
    <w:rsid w:val="00B76C1C"/>
    <w:rsid w:val="00B816EB"/>
    <w:rsid w:val="00B81FEC"/>
    <w:rsid w:val="00B83EED"/>
    <w:rsid w:val="00B90671"/>
    <w:rsid w:val="00BA275B"/>
    <w:rsid w:val="00BA6AAE"/>
    <w:rsid w:val="00BA7F8C"/>
    <w:rsid w:val="00BB3EB7"/>
    <w:rsid w:val="00BB4333"/>
    <w:rsid w:val="00BC0070"/>
    <w:rsid w:val="00BC0869"/>
    <w:rsid w:val="00BC16EA"/>
    <w:rsid w:val="00BD0A84"/>
    <w:rsid w:val="00BD2789"/>
    <w:rsid w:val="00BE0403"/>
    <w:rsid w:val="00BE347C"/>
    <w:rsid w:val="00BE4617"/>
    <w:rsid w:val="00BE4A05"/>
    <w:rsid w:val="00BE7821"/>
    <w:rsid w:val="00BF0DF1"/>
    <w:rsid w:val="00BF5060"/>
    <w:rsid w:val="00C028C8"/>
    <w:rsid w:val="00C06021"/>
    <w:rsid w:val="00C06599"/>
    <w:rsid w:val="00C07DD3"/>
    <w:rsid w:val="00C10783"/>
    <w:rsid w:val="00C1319B"/>
    <w:rsid w:val="00C152E0"/>
    <w:rsid w:val="00C218C6"/>
    <w:rsid w:val="00C23B60"/>
    <w:rsid w:val="00C273E7"/>
    <w:rsid w:val="00C3485E"/>
    <w:rsid w:val="00C41005"/>
    <w:rsid w:val="00C45258"/>
    <w:rsid w:val="00C5467A"/>
    <w:rsid w:val="00C56453"/>
    <w:rsid w:val="00C743CA"/>
    <w:rsid w:val="00C84AF6"/>
    <w:rsid w:val="00C93487"/>
    <w:rsid w:val="00C934F5"/>
    <w:rsid w:val="00CA0816"/>
    <w:rsid w:val="00CA280A"/>
    <w:rsid w:val="00CA5C39"/>
    <w:rsid w:val="00CA5E3C"/>
    <w:rsid w:val="00CB2F34"/>
    <w:rsid w:val="00CB60B0"/>
    <w:rsid w:val="00CC2E0D"/>
    <w:rsid w:val="00CC6E5F"/>
    <w:rsid w:val="00CC7D9B"/>
    <w:rsid w:val="00CD091B"/>
    <w:rsid w:val="00CD2EA2"/>
    <w:rsid w:val="00CD392F"/>
    <w:rsid w:val="00CE7DA4"/>
    <w:rsid w:val="00CF0BF2"/>
    <w:rsid w:val="00CF2E4E"/>
    <w:rsid w:val="00CF500B"/>
    <w:rsid w:val="00D010CB"/>
    <w:rsid w:val="00D036F3"/>
    <w:rsid w:val="00D101D7"/>
    <w:rsid w:val="00D10A3D"/>
    <w:rsid w:val="00D157B6"/>
    <w:rsid w:val="00D1617A"/>
    <w:rsid w:val="00D1738B"/>
    <w:rsid w:val="00D2553C"/>
    <w:rsid w:val="00D319EF"/>
    <w:rsid w:val="00D339FA"/>
    <w:rsid w:val="00D37689"/>
    <w:rsid w:val="00D414E1"/>
    <w:rsid w:val="00D44864"/>
    <w:rsid w:val="00D46C3A"/>
    <w:rsid w:val="00D473DC"/>
    <w:rsid w:val="00D652A5"/>
    <w:rsid w:val="00D72333"/>
    <w:rsid w:val="00D72976"/>
    <w:rsid w:val="00D85986"/>
    <w:rsid w:val="00D93197"/>
    <w:rsid w:val="00D940AD"/>
    <w:rsid w:val="00D9766A"/>
    <w:rsid w:val="00D977E7"/>
    <w:rsid w:val="00DA0E86"/>
    <w:rsid w:val="00DA0F77"/>
    <w:rsid w:val="00DA1625"/>
    <w:rsid w:val="00DA36E0"/>
    <w:rsid w:val="00DB1530"/>
    <w:rsid w:val="00DB2C38"/>
    <w:rsid w:val="00DB50F5"/>
    <w:rsid w:val="00DB5C85"/>
    <w:rsid w:val="00DB6A05"/>
    <w:rsid w:val="00DC1859"/>
    <w:rsid w:val="00DC521E"/>
    <w:rsid w:val="00DC55F9"/>
    <w:rsid w:val="00DC7D5E"/>
    <w:rsid w:val="00DD2863"/>
    <w:rsid w:val="00DD3BB2"/>
    <w:rsid w:val="00DE2D8F"/>
    <w:rsid w:val="00DE2F90"/>
    <w:rsid w:val="00DE6B0B"/>
    <w:rsid w:val="00DF0A45"/>
    <w:rsid w:val="00DF0CB7"/>
    <w:rsid w:val="00DF252C"/>
    <w:rsid w:val="00E0086F"/>
    <w:rsid w:val="00E01F3B"/>
    <w:rsid w:val="00E047BA"/>
    <w:rsid w:val="00E04CF8"/>
    <w:rsid w:val="00E06020"/>
    <w:rsid w:val="00E10B97"/>
    <w:rsid w:val="00E11E2C"/>
    <w:rsid w:val="00E1608B"/>
    <w:rsid w:val="00E226B8"/>
    <w:rsid w:val="00E3049D"/>
    <w:rsid w:val="00E347A0"/>
    <w:rsid w:val="00E430B7"/>
    <w:rsid w:val="00E5503A"/>
    <w:rsid w:val="00E5624D"/>
    <w:rsid w:val="00E6430A"/>
    <w:rsid w:val="00E665A7"/>
    <w:rsid w:val="00E667FF"/>
    <w:rsid w:val="00E729C7"/>
    <w:rsid w:val="00E80882"/>
    <w:rsid w:val="00E84B99"/>
    <w:rsid w:val="00E86206"/>
    <w:rsid w:val="00E866EC"/>
    <w:rsid w:val="00E872C2"/>
    <w:rsid w:val="00E95718"/>
    <w:rsid w:val="00E9765D"/>
    <w:rsid w:val="00EA2004"/>
    <w:rsid w:val="00EA6FBA"/>
    <w:rsid w:val="00EB3B76"/>
    <w:rsid w:val="00EB4454"/>
    <w:rsid w:val="00EB4832"/>
    <w:rsid w:val="00EB551A"/>
    <w:rsid w:val="00EB76E7"/>
    <w:rsid w:val="00EC293B"/>
    <w:rsid w:val="00EC3F11"/>
    <w:rsid w:val="00EC6072"/>
    <w:rsid w:val="00ED10F0"/>
    <w:rsid w:val="00EF01BD"/>
    <w:rsid w:val="00EF7953"/>
    <w:rsid w:val="00EF7CED"/>
    <w:rsid w:val="00F0047B"/>
    <w:rsid w:val="00F01533"/>
    <w:rsid w:val="00F07B88"/>
    <w:rsid w:val="00F152FA"/>
    <w:rsid w:val="00F15A46"/>
    <w:rsid w:val="00F31B09"/>
    <w:rsid w:val="00F3207C"/>
    <w:rsid w:val="00F46D51"/>
    <w:rsid w:val="00F5000C"/>
    <w:rsid w:val="00F5320F"/>
    <w:rsid w:val="00F537C3"/>
    <w:rsid w:val="00F54A0C"/>
    <w:rsid w:val="00F61DE0"/>
    <w:rsid w:val="00F63241"/>
    <w:rsid w:val="00F7502E"/>
    <w:rsid w:val="00F7774E"/>
    <w:rsid w:val="00F82387"/>
    <w:rsid w:val="00F83060"/>
    <w:rsid w:val="00F83797"/>
    <w:rsid w:val="00F85538"/>
    <w:rsid w:val="00F87959"/>
    <w:rsid w:val="00F90188"/>
    <w:rsid w:val="00F92A36"/>
    <w:rsid w:val="00F946F4"/>
    <w:rsid w:val="00F9780C"/>
    <w:rsid w:val="00FA70FA"/>
    <w:rsid w:val="00FB0D85"/>
    <w:rsid w:val="00FB4231"/>
    <w:rsid w:val="00FB5B0F"/>
    <w:rsid w:val="00FB6D7E"/>
    <w:rsid w:val="00FB7EC6"/>
    <w:rsid w:val="00FC3E02"/>
    <w:rsid w:val="00FC5B45"/>
    <w:rsid w:val="00FC77FC"/>
    <w:rsid w:val="00FD0460"/>
    <w:rsid w:val="00FD1BA6"/>
    <w:rsid w:val="00FD25D6"/>
    <w:rsid w:val="00FD3125"/>
    <w:rsid w:val="00FD5107"/>
    <w:rsid w:val="00FD5F9C"/>
    <w:rsid w:val="00FD658B"/>
    <w:rsid w:val="00FE2D8B"/>
    <w:rsid w:val="00FE3195"/>
    <w:rsid w:val="00FE34CD"/>
    <w:rsid w:val="00FE3BB4"/>
    <w:rsid w:val="00FE6A99"/>
    <w:rsid w:val="00FF143A"/>
    <w:rsid w:val="00FF25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B89"/>
    <w:rPr>
      <w:rFonts w:cs="Cambria"/>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B17C87"/>
    <w:rPr>
      <w:rFonts w:cs="Times New Roman"/>
    </w:rPr>
  </w:style>
  <w:style w:type="character" w:customStyle="1" w:styleId="TestonotaapidipaginaCarattere">
    <w:name w:val="Testo nota a piè di pagina Carattere"/>
    <w:basedOn w:val="Carpredefinitoparagrafo"/>
    <w:link w:val="Testonotaapidipagina"/>
    <w:uiPriority w:val="99"/>
    <w:semiHidden/>
    <w:rsid w:val="00B17C87"/>
    <w:rPr>
      <w:rFonts w:ascii="Times New Roman" w:hAnsi="Times New Roman" w:cs="Times New Roman"/>
      <w:lang w:val="en-US"/>
    </w:rPr>
  </w:style>
  <w:style w:type="character" w:styleId="Rimandonotaapidipagina">
    <w:name w:val="footnote reference"/>
    <w:basedOn w:val="Carpredefinitoparagrafo"/>
    <w:uiPriority w:val="99"/>
    <w:semiHidden/>
    <w:rsid w:val="00B17C87"/>
    <w:rPr>
      <w:vertAlign w:val="superscript"/>
    </w:rPr>
  </w:style>
  <w:style w:type="character" w:customStyle="1" w:styleId="bibrecord-highlight-user">
    <w:name w:val="bibrecord-highlight-user"/>
    <w:uiPriority w:val="99"/>
    <w:rsid w:val="00260AED"/>
  </w:style>
  <w:style w:type="paragraph" w:customStyle="1" w:styleId="Normale1">
    <w:name w:val="Normale1"/>
    <w:uiPriority w:val="99"/>
    <w:rsid w:val="00082619"/>
    <w:pPr>
      <w:spacing w:after="200" w:line="276" w:lineRule="auto"/>
    </w:pPr>
    <w:rPr>
      <w:rFonts w:ascii="Arial" w:hAnsi="Arial" w:cs="Arial"/>
      <w:sz w:val="24"/>
      <w:szCs w:val="24"/>
      <w:lang w:val="en-CA" w:eastAsia="en-US"/>
    </w:rPr>
  </w:style>
  <w:style w:type="paragraph" w:customStyle="1" w:styleId="EndNoteBibliography">
    <w:name w:val="EndNote Bibliography"/>
    <w:basedOn w:val="Normale"/>
    <w:uiPriority w:val="99"/>
    <w:rsid w:val="00B83EED"/>
    <w:pPr>
      <w:jc w:val="both"/>
    </w:pPr>
    <w:rPr>
      <w:rFonts w:ascii="Calibri" w:hAnsi="Calibri" w:cs="Calibri"/>
      <w:sz w:val="20"/>
      <w:szCs w:val="20"/>
    </w:rPr>
  </w:style>
  <w:style w:type="paragraph" w:styleId="Pidipagina">
    <w:name w:val="footer"/>
    <w:basedOn w:val="Normale"/>
    <w:link w:val="PidipaginaCarattere"/>
    <w:uiPriority w:val="99"/>
    <w:rsid w:val="002742A2"/>
    <w:pPr>
      <w:tabs>
        <w:tab w:val="center" w:pos="4819"/>
        <w:tab w:val="right" w:pos="9638"/>
      </w:tabs>
    </w:pPr>
  </w:style>
  <w:style w:type="character" w:customStyle="1" w:styleId="PidipaginaCarattere">
    <w:name w:val="Piè di pagina Carattere"/>
    <w:basedOn w:val="Carpredefinitoparagrafo"/>
    <w:link w:val="Pidipagina"/>
    <w:uiPriority w:val="99"/>
    <w:rsid w:val="002742A2"/>
  </w:style>
  <w:style w:type="character" w:styleId="Numeropagina">
    <w:name w:val="page number"/>
    <w:basedOn w:val="Carpredefinitoparagrafo"/>
    <w:uiPriority w:val="99"/>
    <w:semiHidden/>
    <w:rsid w:val="002742A2"/>
  </w:style>
  <w:style w:type="paragraph" w:styleId="Intestazione">
    <w:name w:val="header"/>
    <w:basedOn w:val="Normale"/>
    <w:link w:val="IntestazioneCarattere"/>
    <w:uiPriority w:val="99"/>
    <w:rsid w:val="002742A2"/>
    <w:pPr>
      <w:tabs>
        <w:tab w:val="center" w:pos="4819"/>
        <w:tab w:val="right" w:pos="9638"/>
      </w:tabs>
    </w:pPr>
  </w:style>
  <w:style w:type="character" w:customStyle="1" w:styleId="IntestazioneCarattere">
    <w:name w:val="Intestazione Carattere"/>
    <w:basedOn w:val="Carpredefinitoparagrafo"/>
    <w:link w:val="Intestazione"/>
    <w:uiPriority w:val="99"/>
    <w:rsid w:val="002742A2"/>
  </w:style>
  <w:style w:type="paragraph" w:styleId="NormaleWeb">
    <w:name w:val="Normal (Web)"/>
    <w:basedOn w:val="Normale"/>
    <w:uiPriority w:val="99"/>
    <w:rsid w:val="005E159C"/>
    <w:pPr>
      <w:spacing w:before="100" w:beforeAutospacing="1" w:after="100" w:afterAutospacing="1"/>
    </w:pPr>
    <w:rPr>
      <w:rFonts w:ascii="Times" w:hAnsi="Times" w:cs="Times"/>
      <w:sz w:val="20"/>
      <w:szCs w:val="20"/>
    </w:rPr>
  </w:style>
  <w:style w:type="paragraph" w:styleId="Rientrocorpodeltesto3">
    <w:name w:val="Body Text Indent 3"/>
    <w:basedOn w:val="Normale"/>
    <w:link w:val="Rientrocorpodeltesto3Carattere"/>
    <w:uiPriority w:val="99"/>
    <w:semiHidden/>
    <w:rsid w:val="00C07DD3"/>
    <w:pPr>
      <w:spacing w:before="120" w:after="120" w:line="360" w:lineRule="auto"/>
      <w:ind w:left="567" w:hanging="567"/>
      <w:jc w:val="both"/>
    </w:pPr>
    <w:rPr>
      <w:rFonts w:ascii="Times" w:hAnsi="Times" w:cs="Times"/>
    </w:rPr>
  </w:style>
  <w:style w:type="character" w:customStyle="1" w:styleId="Rientrocorpodeltesto3Carattere">
    <w:name w:val="Rientro corpo del testo 3 Carattere"/>
    <w:basedOn w:val="Carpredefinitoparagrafo"/>
    <w:link w:val="Rientrocorpodeltesto3"/>
    <w:uiPriority w:val="99"/>
    <w:semiHidden/>
    <w:rsid w:val="00C07DD3"/>
    <w:rPr>
      <w:rFonts w:ascii="Times" w:hAnsi="Times" w:cs="Times"/>
      <w:sz w:val="20"/>
      <w:szCs w:val="20"/>
      <w:lang w:val="en-US"/>
    </w:rPr>
  </w:style>
  <w:style w:type="paragraph" w:styleId="Paragrafoelenco">
    <w:name w:val="List Paragraph"/>
    <w:basedOn w:val="Normale"/>
    <w:uiPriority w:val="99"/>
    <w:qFormat/>
    <w:rsid w:val="00FB5B0F"/>
    <w:pPr>
      <w:ind w:left="720"/>
      <w:contextualSpacing/>
    </w:pPr>
  </w:style>
  <w:style w:type="paragraph" w:styleId="Testofumetto">
    <w:name w:val="Balloon Text"/>
    <w:basedOn w:val="Normale"/>
    <w:link w:val="TestofumettoCarattere"/>
    <w:uiPriority w:val="99"/>
    <w:semiHidden/>
    <w:rsid w:val="0002174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21748"/>
    <w:rPr>
      <w:rFonts w:ascii="Lucida Grande" w:hAnsi="Lucida Grande" w:cs="Lucida Grande"/>
      <w:sz w:val="18"/>
      <w:szCs w:val="18"/>
      <w:lang w:val="en-US"/>
    </w:rPr>
  </w:style>
  <w:style w:type="table" w:styleId="Grigliatabella">
    <w:name w:val="Table Grid"/>
    <w:basedOn w:val="Tabellanormale"/>
    <w:uiPriority w:val="99"/>
    <w:rsid w:val="00F31B09"/>
    <w:rPr>
      <w:rFonts w:cs="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e"/>
    <w:uiPriority w:val="99"/>
    <w:rsid w:val="00210B45"/>
    <w:pPr>
      <w:jc w:val="center"/>
    </w:pPr>
    <w:rPr>
      <w:rFonts w:ascii="Calibri" w:hAnsi="Calibri" w:cs="Calibri"/>
      <w:sz w:val="20"/>
      <w:szCs w:val="20"/>
      <w:lang w:val="it-IT"/>
    </w:rPr>
  </w:style>
</w:styles>
</file>

<file path=word/webSettings.xml><?xml version="1.0" encoding="utf-8"?>
<w:webSettings xmlns:r="http://schemas.openxmlformats.org/officeDocument/2006/relationships" xmlns:w="http://schemas.openxmlformats.org/wordprocessingml/2006/main">
  <w:divs>
    <w:div w:id="1939366910">
      <w:marLeft w:val="0"/>
      <w:marRight w:val="0"/>
      <w:marTop w:val="0"/>
      <w:marBottom w:val="0"/>
      <w:divBdr>
        <w:top w:val="none" w:sz="0" w:space="0" w:color="auto"/>
        <w:left w:val="none" w:sz="0" w:space="0" w:color="auto"/>
        <w:bottom w:val="none" w:sz="0" w:space="0" w:color="auto"/>
        <w:right w:val="none" w:sz="0" w:space="0" w:color="auto"/>
      </w:divBdr>
      <w:divsChild>
        <w:div w:id="1939366922">
          <w:marLeft w:val="547"/>
          <w:marRight w:val="0"/>
          <w:marTop w:val="202"/>
          <w:marBottom w:val="0"/>
          <w:divBdr>
            <w:top w:val="none" w:sz="0" w:space="0" w:color="auto"/>
            <w:left w:val="none" w:sz="0" w:space="0" w:color="auto"/>
            <w:bottom w:val="none" w:sz="0" w:space="0" w:color="auto"/>
            <w:right w:val="none" w:sz="0" w:space="0" w:color="auto"/>
          </w:divBdr>
        </w:div>
        <w:div w:id="1939366936">
          <w:marLeft w:val="547"/>
          <w:marRight w:val="0"/>
          <w:marTop w:val="202"/>
          <w:marBottom w:val="0"/>
          <w:divBdr>
            <w:top w:val="none" w:sz="0" w:space="0" w:color="auto"/>
            <w:left w:val="none" w:sz="0" w:space="0" w:color="auto"/>
            <w:bottom w:val="none" w:sz="0" w:space="0" w:color="auto"/>
            <w:right w:val="none" w:sz="0" w:space="0" w:color="auto"/>
          </w:divBdr>
        </w:div>
        <w:div w:id="1939366943">
          <w:marLeft w:val="547"/>
          <w:marRight w:val="0"/>
          <w:marTop w:val="202"/>
          <w:marBottom w:val="0"/>
          <w:divBdr>
            <w:top w:val="none" w:sz="0" w:space="0" w:color="auto"/>
            <w:left w:val="none" w:sz="0" w:space="0" w:color="auto"/>
            <w:bottom w:val="none" w:sz="0" w:space="0" w:color="auto"/>
            <w:right w:val="none" w:sz="0" w:space="0" w:color="auto"/>
          </w:divBdr>
        </w:div>
      </w:divsChild>
    </w:div>
    <w:div w:id="1939366911">
      <w:marLeft w:val="0"/>
      <w:marRight w:val="0"/>
      <w:marTop w:val="0"/>
      <w:marBottom w:val="0"/>
      <w:divBdr>
        <w:top w:val="none" w:sz="0" w:space="0" w:color="auto"/>
        <w:left w:val="none" w:sz="0" w:space="0" w:color="auto"/>
        <w:bottom w:val="none" w:sz="0" w:space="0" w:color="auto"/>
        <w:right w:val="none" w:sz="0" w:space="0" w:color="auto"/>
      </w:divBdr>
      <w:divsChild>
        <w:div w:id="1939366941">
          <w:marLeft w:val="0"/>
          <w:marRight w:val="0"/>
          <w:marTop w:val="0"/>
          <w:marBottom w:val="0"/>
          <w:divBdr>
            <w:top w:val="none" w:sz="0" w:space="0" w:color="auto"/>
            <w:left w:val="none" w:sz="0" w:space="0" w:color="auto"/>
            <w:bottom w:val="none" w:sz="0" w:space="0" w:color="auto"/>
            <w:right w:val="none" w:sz="0" w:space="0" w:color="auto"/>
          </w:divBdr>
          <w:divsChild>
            <w:div w:id="1939366940">
              <w:marLeft w:val="0"/>
              <w:marRight w:val="0"/>
              <w:marTop w:val="0"/>
              <w:marBottom w:val="0"/>
              <w:divBdr>
                <w:top w:val="none" w:sz="0" w:space="0" w:color="auto"/>
                <w:left w:val="none" w:sz="0" w:space="0" w:color="auto"/>
                <w:bottom w:val="none" w:sz="0" w:space="0" w:color="auto"/>
                <w:right w:val="none" w:sz="0" w:space="0" w:color="auto"/>
              </w:divBdr>
              <w:divsChild>
                <w:div w:id="1939366926">
                  <w:marLeft w:val="0"/>
                  <w:marRight w:val="0"/>
                  <w:marTop w:val="0"/>
                  <w:marBottom w:val="0"/>
                  <w:divBdr>
                    <w:top w:val="none" w:sz="0" w:space="0" w:color="auto"/>
                    <w:left w:val="none" w:sz="0" w:space="0" w:color="auto"/>
                    <w:bottom w:val="none" w:sz="0" w:space="0" w:color="auto"/>
                    <w:right w:val="none" w:sz="0" w:space="0" w:color="auto"/>
                  </w:divBdr>
                  <w:divsChild>
                    <w:div w:id="19393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6913">
      <w:marLeft w:val="0"/>
      <w:marRight w:val="0"/>
      <w:marTop w:val="0"/>
      <w:marBottom w:val="0"/>
      <w:divBdr>
        <w:top w:val="none" w:sz="0" w:space="0" w:color="auto"/>
        <w:left w:val="none" w:sz="0" w:space="0" w:color="auto"/>
        <w:bottom w:val="none" w:sz="0" w:space="0" w:color="auto"/>
        <w:right w:val="none" w:sz="0" w:space="0" w:color="auto"/>
      </w:divBdr>
    </w:div>
    <w:div w:id="1939366914">
      <w:marLeft w:val="0"/>
      <w:marRight w:val="0"/>
      <w:marTop w:val="0"/>
      <w:marBottom w:val="0"/>
      <w:divBdr>
        <w:top w:val="none" w:sz="0" w:space="0" w:color="auto"/>
        <w:left w:val="none" w:sz="0" w:space="0" w:color="auto"/>
        <w:bottom w:val="none" w:sz="0" w:space="0" w:color="auto"/>
        <w:right w:val="none" w:sz="0" w:space="0" w:color="auto"/>
      </w:divBdr>
      <w:divsChild>
        <w:div w:id="1939366925">
          <w:marLeft w:val="547"/>
          <w:marRight w:val="0"/>
          <w:marTop w:val="470"/>
          <w:marBottom w:val="0"/>
          <w:divBdr>
            <w:top w:val="none" w:sz="0" w:space="0" w:color="auto"/>
            <w:left w:val="none" w:sz="0" w:space="0" w:color="auto"/>
            <w:bottom w:val="none" w:sz="0" w:space="0" w:color="auto"/>
            <w:right w:val="none" w:sz="0" w:space="0" w:color="auto"/>
          </w:divBdr>
        </w:div>
        <w:div w:id="1939366931">
          <w:marLeft w:val="547"/>
          <w:marRight w:val="0"/>
          <w:marTop w:val="470"/>
          <w:marBottom w:val="0"/>
          <w:divBdr>
            <w:top w:val="none" w:sz="0" w:space="0" w:color="auto"/>
            <w:left w:val="none" w:sz="0" w:space="0" w:color="auto"/>
            <w:bottom w:val="none" w:sz="0" w:space="0" w:color="auto"/>
            <w:right w:val="none" w:sz="0" w:space="0" w:color="auto"/>
          </w:divBdr>
        </w:div>
      </w:divsChild>
    </w:div>
    <w:div w:id="1939366916">
      <w:marLeft w:val="0"/>
      <w:marRight w:val="0"/>
      <w:marTop w:val="0"/>
      <w:marBottom w:val="0"/>
      <w:divBdr>
        <w:top w:val="none" w:sz="0" w:space="0" w:color="auto"/>
        <w:left w:val="none" w:sz="0" w:space="0" w:color="auto"/>
        <w:bottom w:val="none" w:sz="0" w:space="0" w:color="auto"/>
        <w:right w:val="none" w:sz="0" w:space="0" w:color="auto"/>
      </w:divBdr>
      <w:divsChild>
        <w:div w:id="1939366942">
          <w:marLeft w:val="0"/>
          <w:marRight w:val="0"/>
          <w:marTop w:val="0"/>
          <w:marBottom w:val="0"/>
          <w:divBdr>
            <w:top w:val="none" w:sz="0" w:space="0" w:color="auto"/>
            <w:left w:val="none" w:sz="0" w:space="0" w:color="auto"/>
            <w:bottom w:val="none" w:sz="0" w:space="0" w:color="auto"/>
            <w:right w:val="none" w:sz="0" w:space="0" w:color="auto"/>
          </w:divBdr>
          <w:divsChild>
            <w:div w:id="1939366934">
              <w:marLeft w:val="0"/>
              <w:marRight w:val="0"/>
              <w:marTop w:val="0"/>
              <w:marBottom w:val="0"/>
              <w:divBdr>
                <w:top w:val="none" w:sz="0" w:space="0" w:color="auto"/>
                <w:left w:val="none" w:sz="0" w:space="0" w:color="auto"/>
                <w:bottom w:val="none" w:sz="0" w:space="0" w:color="auto"/>
                <w:right w:val="none" w:sz="0" w:space="0" w:color="auto"/>
              </w:divBdr>
              <w:divsChild>
                <w:div w:id="19393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6917">
      <w:marLeft w:val="0"/>
      <w:marRight w:val="0"/>
      <w:marTop w:val="0"/>
      <w:marBottom w:val="0"/>
      <w:divBdr>
        <w:top w:val="none" w:sz="0" w:space="0" w:color="auto"/>
        <w:left w:val="none" w:sz="0" w:space="0" w:color="auto"/>
        <w:bottom w:val="none" w:sz="0" w:space="0" w:color="auto"/>
        <w:right w:val="none" w:sz="0" w:space="0" w:color="auto"/>
      </w:divBdr>
      <w:divsChild>
        <w:div w:id="1939366923">
          <w:marLeft w:val="0"/>
          <w:marRight w:val="0"/>
          <w:marTop w:val="0"/>
          <w:marBottom w:val="0"/>
          <w:divBdr>
            <w:top w:val="none" w:sz="0" w:space="0" w:color="auto"/>
            <w:left w:val="none" w:sz="0" w:space="0" w:color="auto"/>
            <w:bottom w:val="none" w:sz="0" w:space="0" w:color="auto"/>
            <w:right w:val="none" w:sz="0" w:space="0" w:color="auto"/>
          </w:divBdr>
          <w:divsChild>
            <w:div w:id="1939366912">
              <w:marLeft w:val="0"/>
              <w:marRight w:val="0"/>
              <w:marTop w:val="0"/>
              <w:marBottom w:val="0"/>
              <w:divBdr>
                <w:top w:val="none" w:sz="0" w:space="0" w:color="auto"/>
                <w:left w:val="none" w:sz="0" w:space="0" w:color="auto"/>
                <w:bottom w:val="none" w:sz="0" w:space="0" w:color="auto"/>
                <w:right w:val="none" w:sz="0" w:space="0" w:color="auto"/>
              </w:divBdr>
              <w:divsChild>
                <w:div w:id="1939366929">
                  <w:marLeft w:val="0"/>
                  <w:marRight w:val="0"/>
                  <w:marTop w:val="0"/>
                  <w:marBottom w:val="0"/>
                  <w:divBdr>
                    <w:top w:val="none" w:sz="0" w:space="0" w:color="auto"/>
                    <w:left w:val="none" w:sz="0" w:space="0" w:color="auto"/>
                    <w:bottom w:val="none" w:sz="0" w:space="0" w:color="auto"/>
                    <w:right w:val="none" w:sz="0" w:space="0" w:color="auto"/>
                  </w:divBdr>
                  <w:divsChild>
                    <w:div w:id="19393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6921">
      <w:marLeft w:val="0"/>
      <w:marRight w:val="0"/>
      <w:marTop w:val="0"/>
      <w:marBottom w:val="0"/>
      <w:divBdr>
        <w:top w:val="none" w:sz="0" w:space="0" w:color="auto"/>
        <w:left w:val="none" w:sz="0" w:space="0" w:color="auto"/>
        <w:bottom w:val="none" w:sz="0" w:space="0" w:color="auto"/>
        <w:right w:val="none" w:sz="0" w:space="0" w:color="auto"/>
      </w:divBdr>
      <w:divsChild>
        <w:div w:id="1939366918">
          <w:marLeft w:val="547"/>
          <w:marRight w:val="0"/>
          <w:marTop w:val="254"/>
          <w:marBottom w:val="0"/>
          <w:divBdr>
            <w:top w:val="none" w:sz="0" w:space="0" w:color="auto"/>
            <w:left w:val="none" w:sz="0" w:space="0" w:color="auto"/>
            <w:bottom w:val="none" w:sz="0" w:space="0" w:color="auto"/>
            <w:right w:val="none" w:sz="0" w:space="0" w:color="auto"/>
          </w:divBdr>
        </w:div>
        <w:div w:id="1939366919">
          <w:marLeft w:val="547"/>
          <w:marRight w:val="0"/>
          <w:marTop w:val="254"/>
          <w:marBottom w:val="0"/>
          <w:divBdr>
            <w:top w:val="none" w:sz="0" w:space="0" w:color="auto"/>
            <w:left w:val="none" w:sz="0" w:space="0" w:color="auto"/>
            <w:bottom w:val="none" w:sz="0" w:space="0" w:color="auto"/>
            <w:right w:val="none" w:sz="0" w:space="0" w:color="auto"/>
          </w:divBdr>
        </w:div>
        <w:div w:id="1939366928">
          <w:marLeft w:val="547"/>
          <w:marRight w:val="0"/>
          <w:marTop w:val="254"/>
          <w:marBottom w:val="0"/>
          <w:divBdr>
            <w:top w:val="none" w:sz="0" w:space="0" w:color="auto"/>
            <w:left w:val="none" w:sz="0" w:space="0" w:color="auto"/>
            <w:bottom w:val="none" w:sz="0" w:space="0" w:color="auto"/>
            <w:right w:val="none" w:sz="0" w:space="0" w:color="auto"/>
          </w:divBdr>
        </w:div>
      </w:divsChild>
    </w:div>
    <w:div w:id="1939366932">
      <w:marLeft w:val="0"/>
      <w:marRight w:val="0"/>
      <w:marTop w:val="0"/>
      <w:marBottom w:val="0"/>
      <w:divBdr>
        <w:top w:val="none" w:sz="0" w:space="0" w:color="auto"/>
        <w:left w:val="none" w:sz="0" w:space="0" w:color="auto"/>
        <w:bottom w:val="none" w:sz="0" w:space="0" w:color="auto"/>
        <w:right w:val="none" w:sz="0" w:space="0" w:color="auto"/>
      </w:divBdr>
      <w:divsChild>
        <w:div w:id="1939366927">
          <w:marLeft w:val="0"/>
          <w:marRight w:val="0"/>
          <w:marTop w:val="0"/>
          <w:marBottom w:val="0"/>
          <w:divBdr>
            <w:top w:val="none" w:sz="0" w:space="0" w:color="auto"/>
            <w:left w:val="none" w:sz="0" w:space="0" w:color="auto"/>
            <w:bottom w:val="none" w:sz="0" w:space="0" w:color="auto"/>
            <w:right w:val="none" w:sz="0" w:space="0" w:color="auto"/>
          </w:divBdr>
          <w:divsChild>
            <w:div w:id="1939366915">
              <w:marLeft w:val="0"/>
              <w:marRight w:val="0"/>
              <w:marTop w:val="0"/>
              <w:marBottom w:val="0"/>
              <w:divBdr>
                <w:top w:val="none" w:sz="0" w:space="0" w:color="auto"/>
                <w:left w:val="none" w:sz="0" w:space="0" w:color="auto"/>
                <w:bottom w:val="none" w:sz="0" w:space="0" w:color="auto"/>
                <w:right w:val="none" w:sz="0" w:space="0" w:color="auto"/>
              </w:divBdr>
              <w:divsChild>
                <w:div w:id="1939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6933">
      <w:marLeft w:val="0"/>
      <w:marRight w:val="0"/>
      <w:marTop w:val="0"/>
      <w:marBottom w:val="0"/>
      <w:divBdr>
        <w:top w:val="none" w:sz="0" w:space="0" w:color="auto"/>
        <w:left w:val="none" w:sz="0" w:space="0" w:color="auto"/>
        <w:bottom w:val="none" w:sz="0" w:space="0" w:color="auto"/>
        <w:right w:val="none" w:sz="0" w:space="0" w:color="auto"/>
      </w:divBdr>
      <w:divsChild>
        <w:div w:id="1939366924">
          <w:marLeft w:val="0"/>
          <w:marRight w:val="0"/>
          <w:marTop w:val="0"/>
          <w:marBottom w:val="0"/>
          <w:divBdr>
            <w:top w:val="none" w:sz="0" w:space="0" w:color="auto"/>
            <w:left w:val="none" w:sz="0" w:space="0" w:color="auto"/>
            <w:bottom w:val="none" w:sz="0" w:space="0" w:color="auto"/>
            <w:right w:val="none" w:sz="0" w:space="0" w:color="auto"/>
          </w:divBdr>
          <w:divsChild>
            <w:div w:id="1939366930">
              <w:marLeft w:val="0"/>
              <w:marRight w:val="0"/>
              <w:marTop w:val="0"/>
              <w:marBottom w:val="0"/>
              <w:divBdr>
                <w:top w:val="none" w:sz="0" w:space="0" w:color="auto"/>
                <w:left w:val="none" w:sz="0" w:space="0" w:color="auto"/>
                <w:bottom w:val="none" w:sz="0" w:space="0" w:color="auto"/>
                <w:right w:val="none" w:sz="0" w:space="0" w:color="auto"/>
              </w:divBdr>
              <w:divsChild>
                <w:div w:id="1939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1655</Words>
  <Characters>9439</Characters>
  <Application>Microsoft Office Word</Application>
  <DocSecurity>0</DocSecurity>
  <Lines>78</Lines>
  <Paragraphs>22</Paragraphs>
  <ScaleCrop>false</ScaleCrop>
  <Company>Università di Parma</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APPROPRIATEZZA TERAPEUTICA DEGLI INIBITORI DI POMPA PROTONICA </dc:title>
  <dc:subject/>
  <dc:creator>Prof. Carmelo SCARPIGNATO</dc:creator>
  <cp:keywords/>
  <dc:description/>
  <cp:lastModifiedBy>chiriatti</cp:lastModifiedBy>
  <cp:revision>5</cp:revision>
  <cp:lastPrinted>2015-06-21T15:09:00Z</cp:lastPrinted>
  <dcterms:created xsi:type="dcterms:W3CDTF">2015-07-01T19:09:00Z</dcterms:created>
  <dcterms:modified xsi:type="dcterms:W3CDTF">2015-07-21T11:44:00Z</dcterms:modified>
</cp:coreProperties>
</file>