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4B07" w14:textId="3DEC398C" w:rsidR="0020037D" w:rsidRDefault="0020037D" w:rsidP="0020037D">
      <w:pPr>
        <w:ind w:left="-567" w:right="-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19° Rapporto Annuale</w:t>
      </w:r>
      <w:r>
        <w:rPr>
          <w:b/>
          <w:sz w:val="44"/>
          <w:szCs w:val="44"/>
        </w:rPr>
        <w:br/>
        <w:t>“Ospedali &amp; Salute/2021</w:t>
      </w:r>
      <w:r w:rsidRPr="00C81706">
        <w:rPr>
          <w:b/>
          <w:sz w:val="44"/>
          <w:szCs w:val="44"/>
        </w:rPr>
        <w:t>”</w:t>
      </w:r>
    </w:p>
    <w:p w14:paraId="72D12E25" w14:textId="77777777" w:rsidR="0020037D" w:rsidRDefault="0020037D" w:rsidP="0020037D">
      <w:pPr>
        <w:pStyle w:val="Titolo1"/>
        <w:jc w:val="center"/>
        <w:rPr>
          <w:smallCaps w:val="0"/>
          <w:szCs w:val="36"/>
        </w:rPr>
      </w:pPr>
      <w:r>
        <w:rPr>
          <w:szCs w:val="36"/>
        </w:rPr>
        <w:t>Sintesi per la stampa</w:t>
      </w:r>
    </w:p>
    <w:p w14:paraId="5DE44324" w14:textId="77777777" w:rsidR="0020037D" w:rsidRDefault="0020037D" w:rsidP="0020037D"/>
    <w:p w14:paraId="17779F54" w14:textId="0E894741" w:rsidR="005A06B0" w:rsidRDefault="0020037D" w:rsidP="0020037D">
      <w:pPr>
        <w:spacing w:after="0"/>
      </w:pPr>
      <w:r>
        <w:t>I</w:t>
      </w:r>
      <w:r w:rsidRPr="0038737E">
        <w:t>l Rapporto “Ospedali &amp; Salute/202</w:t>
      </w:r>
      <w:r w:rsidR="005A06B0">
        <w:t>1</w:t>
      </w:r>
      <w:r w:rsidRPr="0038737E">
        <w:t>”, promosso dall’AIOP – Associazione Italiana Ospedalità Privata e realizzato dalla società Ermeneia – Studi &amp; Strategie di Sistema di Roma</w:t>
      </w:r>
      <w:r>
        <w:t xml:space="preserve"> (</w:t>
      </w:r>
      <w:r w:rsidRPr="0038737E">
        <w:t>sotto la direzione di Nadio Delai</w:t>
      </w:r>
      <w:r>
        <w:t xml:space="preserve">) </w:t>
      </w:r>
      <w:r w:rsidR="005A06B0">
        <w:t>continua ad esercitare il suo ruolo di presidio interpretativo annuale dell’andamento del sistema ospedaliero italiano, costituito da una componente di diritto pubblico e da una componente di diritto privato (quella accreditata). Tale sistema ormai da due anni ha dovuto affrontare i problemi (e le sfide) dell’“ordi</w:t>
      </w:r>
      <w:r w:rsidR="009069FD">
        <w:softHyphen/>
      </w:r>
      <w:r w:rsidR="005A06B0">
        <w:t xml:space="preserve">nario” sia i nuovi impegni </w:t>
      </w:r>
      <w:r w:rsidR="005A06B0" w:rsidRPr="009069FD">
        <w:t>derivanti</w:t>
      </w:r>
      <w:r w:rsidR="005A06B0">
        <w:t xml:space="preserve"> dallo “straordinario” dalla pandemia, a cui si è aggiunto l’inevitabile rimbalzo del secondo sul primo.</w:t>
      </w:r>
    </w:p>
    <w:p w14:paraId="1245BA8C" w14:textId="7959F879" w:rsidR="005A06B0" w:rsidRDefault="005A06B0" w:rsidP="0020037D">
      <w:pPr>
        <w:spacing w:after="0"/>
      </w:pPr>
      <w:r>
        <w:t>Di conseguenza il Rapporto 2021 si articola in quattro Parti, di cui:</w:t>
      </w:r>
    </w:p>
    <w:p w14:paraId="0B9E2A94" w14:textId="0E4BD945" w:rsidR="005A06B0" w:rsidRDefault="005A06B0" w:rsidP="00CD4DE7">
      <w:pPr>
        <w:pStyle w:val="Paragrafoelenco"/>
        <w:spacing w:before="60" w:after="60"/>
        <w:ind w:left="357" w:hanging="357"/>
      </w:pPr>
      <w:r>
        <w:t xml:space="preserve">la Parte prima riprende i temi-chiave dell’intreccio tra fenomeni </w:t>
      </w:r>
      <w:r w:rsidR="009069FD">
        <w:t>attinenti a</w:t>
      </w:r>
      <w:r>
        <w:t>ll’</w:t>
      </w:r>
      <w:r w:rsidRPr="009069FD">
        <w:t>evolu</w:t>
      </w:r>
      <w:r w:rsidR="009069FD">
        <w:softHyphen/>
      </w:r>
      <w:r w:rsidRPr="009069FD">
        <w:t>zione</w:t>
      </w:r>
      <w:r>
        <w:t xml:space="preserve"> ordinaria del sistema e </w:t>
      </w:r>
      <w:r w:rsidR="009069FD">
        <w:t xml:space="preserve">i </w:t>
      </w:r>
      <w:r>
        <w:t xml:space="preserve">fenomeni </w:t>
      </w:r>
      <w:r w:rsidR="009069FD">
        <w:t xml:space="preserve">generati </w:t>
      </w:r>
      <w:r>
        <w:t xml:space="preserve">dall’impatto straordinario che ha avuto il virus </w:t>
      </w:r>
      <w:r w:rsidR="009069FD">
        <w:t xml:space="preserve">sui pazienti e </w:t>
      </w:r>
      <w:r>
        <w:t>sulle str</w:t>
      </w:r>
      <w:r w:rsidR="009069FD">
        <w:t>u</w:t>
      </w:r>
      <w:r>
        <w:t>tture sanitarie;</w:t>
      </w:r>
    </w:p>
    <w:p w14:paraId="75482B05" w14:textId="52BD780A" w:rsidR="005A06B0" w:rsidRDefault="005A06B0" w:rsidP="00CD4DE7">
      <w:pPr>
        <w:pStyle w:val="Paragrafoelenco"/>
        <w:spacing w:before="60" w:after="60"/>
        <w:ind w:left="357" w:hanging="357"/>
      </w:pPr>
      <w:r>
        <w:t xml:space="preserve">la Parte seconda illustra i risultati </w:t>
      </w:r>
      <w:r w:rsidR="00B16ABE">
        <w:t xml:space="preserve">in dettaglio </w:t>
      </w:r>
      <w:r>
        <w:t xml:space="preserve">di </w:t>
      </w:r>
      <w:r w:rsidRPr="009069FD">
        <w:t xml:space="preserve">un’apposita indagine </w:t>
      </w:r>
      <w:r w:rsidR="009069FD">
        <w:t xml:space="preserve">nazionale rappresentativa </w:t>
      </w:r>
      <w:r w:rsidRPr="009069FD">
        <w:t>sulle</w:t>
      </w:r>
      <w:r>
        <w:t xml:space="preserve"> esperienze avute dai pazienti Covid</w:t>
      </w:r>
      <w:r w:rsidR="009069FD">
        <w:t>;</w:t>
      </w:r>
    </w:p>
    <w:p w14:paraId="23D03EE3" w14:textId="3E8289F6" w:rsidR="005A06B0" w:rsidRDefault="0003336B" w:rsidP="00CD4DE7">
      <w:pPr>
        <w:pStyle w:val="Paragrafoelenco"/>
        <w:spacing w:before="60" w:after="60"/>
        <w:ind w:left="357" w:hanging="357"/>
      </w:pPr>
      <w:r>
        <w:t>la Parte terza registra invece i problemi</w:t>
      </w:r>
      <w:r w:rsidR="00940A60">
        <w:t xml:space="preserve">, i comportamenti e gli orientamenti di un secondo campione </w:t>
      </w:r>
      <w:r w:rsidR="00B16ABE">
        <w:t>(</w:t>
      </w:r>
      <w:r w:rsidR="00940A60">
        <w:t>di 4.000 unità</w:t>
      </w:r>
      <w:r w:rsidR="00B16ABE">
        <w:t>)</w:t>
      </w:r>
      <w:r w:rsidR="00940A60">
        <w:t>,</w:t>
      </w:r>
      <w:r w:rsidR="00B16ABE">
        <w:t xml:space="preserve"> rappresentativo della popolazione adulta</w:t>
      </w:r>
      <w:r w:rsidR="00940A60">
        <w:t xml:space="preserve"> la quale ha dovuto affrontare le difficoltà di accesso alle prestazioni ordinarie per due anni consecutivi a seguito dell’impatto della pandemia di Corona virus sul sistema sanitario;</w:t>
      </w:r>
    </w:p>
    <w:p w14:paraId="2B0BDA25" w14:textId="472BD0A0" w:rsidR="00940A60" w:rsidRPr="00B16ABE" w:rsidRDefault="00940A60" w:rsidP="00CD4DE7">
      <w:pPr>
        <w:pStyle w:val="Paragrafoelenco"/>
        <w:spacing w:before="60" w:after="60"/>
        <w:ind w:left="357" w:hanging="357"/>
        <w:rPr>
          <w:b/>
          <w:bCs/>
          <w:u w:val="single"/>
        </w:rPr>
      </w:pPr>
      <w:r w:rsidRPr="00B16ABE">
        <w:t>ed infine, la Parte quarta dà conto dell’evoluzione del sistema ospedaliero ordinario, con l’</w:t>
      </w:r>
      <w:r w:rsidR="009069FD" w:rsidRPr="00B16ABE">
        <w:t xml:space="preserve">aggiunta di </w:t>
      </w:r>
      <w:r w:rsidRPr="00B16ABE">
        <w:t xml:space="preserve">alcuni indicatori </w:t>
      </w:r>
      <w:r w:rsidR="009069FD" w:rsidRPr="00B16ABE">
        <w:t>relativi a</w:t>
      </w:r>
      <w:r w:rsidRPr="00B16ABE">
        <w:t xml:space="preserve">lle quattro “ondate” del virus </w:t>
      </w:r>
      <w:r w:rsidR="009069FD" w:rsidRPr="00B16ABE">
        <w:t xml:space="preserve">nel corso del biennio 2020-2021 </w:t>
      </w:r>
      <w:r w:rsidRPr="00B16ABE">
        <w:t>e di quelli relativi alle prestazioni mancate</w:t>
      </w:r>
      <w:r w:rsidR="002F41CA" w:rsidRPr="00B16ABE">
        <w:t xml:space="preserve"> dei pazienti </w:t>
      </w:r>
      <w:r w:rsidR="00B16ABE" w:rsidRPr="00B16ABE">
        <w:t>non-</w:t>
      </w:r>
      <w:r w:rsidR="002F41CA" w:rsidRPr="00B16ABE">
        <w:t>Covid</w:t>
      </w:r>
      <w:r w:rsidRPr="00B16ABE">
        <w:t>.</w:t>
      </w:r>
    </w:p>
    <w:p w14:paraId="2F244BCA" w14:textId="7576F0E9" w:rsidR="00940A60" w:rsidRDefault="00940A60" w:rsidP="00940A60">
      <w:r>
        <w:t xml:space="preserve">Quello che è emerso dall’insieme delle analisi </w:t>
      </w:r>
      <w:r w:rsidR="005F32CD">
        <w:t>è riportabile, in sintesi, alle seguenti quattro testi interpretative.</w:t>
      </w:r>
    </w:p>
    <w:p w14:paraId="6F050A23" w14:textId="2F62C558" w:rsidR="005F32CD" w:rsidRDefault="005F32CD" w:rsidP="00940A60"/>
    <w:p w14:paraId="165B2AAA" w14:textId="688A74BF" w:rsidR="005F32CD" w:rsidRDefault="005F32CD" w:rsidP="005F32CD">
      <w:pPr>
        <w:spacing w:before="0" w:after="0"/>
        <w:rPr>
          <w:i/>
          <w:iCs/>
        </w:rPr>
      </w:pPr>
      <w:r w:rsidRPr="00F0070F">
        <w:rPr>
          <w:b/>
          <w:bCs/>
          <w:sz w:val="32"/>
        </w:rPr>
        <w:t>1.</w:t>
      </w:r>
      <w:r w:rsidRPr="00F0070F">
        <w:rPr>
          <w:b/>
          <w:bCs/>
          <w:i/>
          <w:iCs/>
          <w:sz w:val="28"/>
        </w:rPr>
        <w:t xml:space="preserve"> </w:t>
      </w:r>
      <w:r w:rsidRPr="00E30C36">
        <w:rPr>
          <w:i/>
          <w:iCs/>
          <w:u w:val="single"/>
        </w:rPr>
        <w:t>Prima tesi</w:t>
      </w:r>
      <w:r w:rsidRPr="00E30C36">
        <w:rPr>
          <w:i/>
          <w:iCs/>
        </w:rPr>
        <w:t xml:space="preserve">: </w:t>
      </w:r>
      <w:r w:rsidR="002F41CA">
        <w:rPr>
          <w:i/>
          <w:iCs/>
        </w:rPr>
        <w:t xml:space="preserve">Si è </w:t>
      </w:r>
      <w:r>
        <w:rPr>
          <w:i/>
          <w:iCs/>
        </w:rPr>
        <w:t xml:space="preserve">registrata la presenza di due fattori di tensione, di cui il primo era già </w:t>
      </w:r>
      <w:r w:rsidR="002F41CA">
        <w:rPr>
          <w:i/>
          <w:iCs/>
        </w:rPr>
        <w:t xml:space="preserve">emerso </w:t>
      </w:r>
      <w:r>
        <w:rPr>
          <w:i/>
          <w:iCs/>
        </w:rPr>
        <w:t xml:space="preserve">nella fase pre-pandemica, mentre il secondo si è manifestato a seguito dell’arrivo del Corona virus: col risultato </w:t>
      </w:r>
      <w:r w:rsidR="002F41CA">
        <w:rPr>
          <w:i/>
          <w:iCs/>
        </w:rPr>
        <w:t xml:space="preserve">(inevitabile) </w:t>
      </w:r>
      <w:r>
        <w:rPr>
          <w:i/>
          <w:iCs/>
        </w:rPr>
        <w:t xml:space="preserve">di </w:t>
      </w:r>
      <w:r w:rsidR="002F41CA">
        <w:rPr>
          <w:i/>
          <w:iCs/>
        </w:rPr>
        <w:t xml:space="preserve">sovrapporre e di far interagire </w:t>
      </w:r>
      <w:r>
        <w:rPr>
          <w:i/>
          <w:iCs/>
        </w:rPr>
        <w:t>i problemi dell</w:t>
      </w:r>
      <w:r w:rsidR="002F41CA">
        <w:rPr>
          <w:i/>
          <w:iCs/>
        </w:rPr>
        <w:t>o “straordinario” con i problemi dell</w:t>
      </w:r>
      <w:r>
        <w:rPr>
          <w:i/>
          <w:iCs/>
        </w:rPr>
        <w:t>’“ordinario”</w:t>
      </w:r>
      <w:r w:rsidR="002F41CA">
        <w:rPr>
          <w:i/>
          <w:iCs/>
        </w:rPr>
        <w:t>.</w:t>
      </w:r>
    </w:p>
    <w:p w14:paraId="6ABF5234" w14:textId="0C5488E9" w:rsidR="005F32CD" w:rsidRDefault="005F32CD" w:rsidP="005F32CD">
      <w:r>
        <w:t>Il primo fattore di tensione</w:t>
      </w:r>
      <w:r w:rsidR="006F615A">
        <w:t>, che</w:t>
      </w:r>
      <w:r>
        <w:t xml:space="preserve"> si era venuto configurando </w:t>
      </w:r>
      <w:r w:rsidR="002F41CA">
        <w:t>già da tempo</w:t>
      </w:r>
      <w:r w:rsidR="006F615A">
        <w:t>,</w:t>
      </w:r>
      <w:r w:rsidR="002F41CA">
        <w:t xml:space="preserve"> è </w:t>
      </w:r>
      <w:r w:rsidR="006F615A">
        <w:t xml:space="preserve">rilevabile </w:t>
      </w:r>
      <w:r>
        <w:t>da</w:t>
      </w:r>
      <w:r w:rsidR="0013458E">
        <w:t>lla</w:t>
      </w:r>
      <w:r>
        <w:t xml:space="preserve"> contraddizione </w:t>
      </w:r>
      <w:r w:rsidR="0013458E">
        <w:t xml:space="preserve">tra due tipi di indicatori e </w:t>
      </w:r>
      <w:r w:rsidR="006F615A">
        <w:t xml:space="preserve">precisamente </w:t>
      </w:r>
      <w:r>
        <w:t>(cfr. primo gruppo di dati della tabella 1</w:t>
      </w:r>
      <w:r w:rsidR="002F41CA">
        <w:t>)</w:t>
      </w:r>
      <w:r w:rsidR="00BA33BB">
        <w:t>:</w:t>
      </w:r>
    </w:p>
    <w:p w14:paraId="4FECFBAC" w14:textId="322F22EE" w:rsidR="005A06B0" w:rsidRDefault="00BA33BB" w:rsidP="00CD4DE7">
      <w:pPr>
        <w:pStyle w:val="Paragrafoelenco"/>
        <w:spacing w:before="60" w:after="60"/>
        <w:ind w:left="357" w:hanging="357"/>
      </w:pPr>
      <w:r>
        <w:t xml:space="preserve">tra il progressivo rafforzamento dell’incidenza medio-statistica delle prestazioni ospedaliere di alta complessità, le quali sono passate, per gli ospedali di diritto pubblico, dal 14,4% del 2015 al 16,1% del 2019 </w:t>
      </w:r>
      <w:r w:rsidR="008F2273">
        <w:t xml:space="preserve">e – su livelli più elevati – dal 18,7% </w:t>
      </w:r>
      <w:r w:rsidR="008F2273">
        <w:lastRenderedPageBreak/>
        <w:t>al 23,8% per gli ospedali di diritto privato (strutture accreditate)</w:t>
      </w:r>
      <w:r w:rsidR="0013458E">
        <w:t>,</w:t>
      </w:r>
      <w:r w:rsidR="008F2273">
        <w:t xml:space="preserve"> peraltro </w:t>
      </w:r>
      <w:r w:rsidR="0013458E">
        <w:t xml:space="preserve">con </w:t>
      </w:r>
      <w:r w:rsidR="008F2273">
        <w:t xml:space="preserve">una </w:t>
      </w:r>
      <w:r w:rsidR="0013458E">
        <w:t xml:space="preserve">palese </w:t>
      </w:r>
      <w:r w:rsidR="008F2273">
        <w:t xml:space="preserve">situazione di svantaggio per </w:t>
      </w:r>
      <w:r w:rsidR="0013458E">
        <w:t xml:space="preserve">il </w:t>
      </w:r>
      <w:r w:rsidR="008F2273">
        <w:t>Mezzogiorno;</w:t>
      </w:r>
    </w:p>
    <w:p w14:paraId="60717423" w14:textId="55E58451" w:rsidR="008F2273" w:rsidRDefault="008F2273" w:rsidP="00CD4DE7">
      <w:pPr>
        <w:pStyle w:val="Paragrafoelenco"/>
        <w:spacing w:before="60" w:after="60"/>
        <w:ind w:left="357" w:hanging="357"/>
      </w:pPr>
      <w:r>
        <w:t xml:space="preserve">e la </w:t>
      </w:r>
      <w:r w:rsidR="0013458E">
        <w:t xml:space="preserve">presenza </w:t>
      </w:r>
      <w:r>
        <w:t xml:space="preserve">di una “medietà” insoddisfacente delle prestazioni </w:t>
      </w:r>
      <w:r w:rsidRPr="0013458E">
        <w:t>percepite</w:t>
      </w:r>
      <w:r>
        <w:t xml:space="preserve"> da </w:t>
      </w:r>
      <w:r w:rsidR="006F615A">
        <w:t xml:space="preserve">parte di </w:t>
      </w:r>
      <w:r>
        <w:rPr>
          <w:i/>
          <w:iCs/>
        </w:rPr>
        <w:t xml:space="preserve">caregiver </w:t>
      </w:r>
      <w:r>
        <w:t>e popolazione</w:t>
      </w:r>
      <w:r>
        <w:rPr>
          <w:rStyle w:val="Rimandonotaapidipagina"/>
        </w:rPr>
        <w:footnoteReference w:id="1"/>
      </w:r>
      <w:r w:rsidR="0013458E">
        <w:t>,</w:t>
      </w:r>
      <w:r w:rsidR="008A4E67">
        <w:t xml:space="preserve"> che interessa nel 2019 il 35,9% degli ospedali di diritto pubblico contro il 26,2% di quelli di diritto privato (strutture accreditate) e il 23,3% delle cliniche private a pagamento pieno</w:t>
      </w:r>
      <w:r w:rsidR="00754DDA">
        <w:t>,</w:t>
      </w:r>
      <w:r w:rsidR="008A4E67">
        <w:t xml:space="preserve"> con un peggioramento del livello di insoddisfazione</w:t>
      </w:r>
      <w:r w:rsidR="00754DDA">
        <w:t xml:space="preserve"> dichiarata per i servizi di </w:t>
      </w:r>
      <w:r w:rsidR="008A4E67">
        <w:t>Pronto Soccorso</w:t>
      </w:r>
      <w:r w:rsidR="00754DDA">
        <w:t>,</w:t>
      </w:r>
      <w:r w:rsidR="008A4E67">
        <w:t xml:space="preserve"> che è </w:t>
      </w:r>
      <w:r w:rsidR="00754DDA">
        <w:t>cresciuto</w:t>
      </w:r>
      <w:r w:rsidR="008A4E67">
        <w:t xml:space="preserve"> d</w:t>
      </w:r>
      <w:r w:rsidR="00754DDA">
        <w:t>a</w:t>
      </w:r>
      <w:r w:rsidR="008A4E67">
        <w:t>l 29,0% del 2018 al 37,5% del 2019 (</w:t>
      </w:r>
      <w:r w:rsidR="006F615A">
        <w:t xml:space="preserve">e </w:t>
      </w:r>
      <w:r w:rsidR="008A4E67">
        <w:t xml:space="preserve">sempre con una situazione </w:t>
      </w:r>
      <w:r w:rsidR="006F615A">
        <w:t xml:space="preserve">significativamente </w:t>
      </w:r>
      <w:r w:rsidR="00754DDA">
        <w:t>più critica</w:t>
      </w:r>
      <w:r w:rsidR="008A4E67">
        <w:t xml:space="preserve"> per il Mezzogiorno).</w:t>
      </w:r>
    </w:p>
    <w:p w14:paraId="11F7673C" w14:textId="0CABDFD5" w:rsidR="008A4E67" w:rsidRDefault="008A4E67" w:rsidP="008A4E67">
      <w:r>
        <w:t xml:space="preserve">Il risultato, già nel periodo pre-pandemico dunque, era quello di </w:t>
      </w:r>
      <w:r w:rsidR="00754DDA">
        <w:t xml:space="preserve">dover registrare </w:t>
      </w:r>
      <w:r>
        <w:t xml:space="preserve">una situazione di fatto </w:t>
      </w:r>
      <w:r w:rsidR="00754DDA">
        <w:t xml:space="preserve">caratterizzata dall’esistenza </w:t>
      </w:r>
      <w:r w:rsidRPr="00754DDA">
        <w:t>d</w:t>
      </w:r>
      <w:r w:rsidR="00754DDA" w:rsidRPr="00754DDA">
        <w:t>i</w:t>
      </w:r>
      <w:r w:rsidRPr="00754DDA">
        <w:t xml:space="preserve"> 21 Servizi Sanitari Regionali</w:t>
      </w:r>
      <w:r>
        <w:t xml:space="preserve"> diversi</w:t>
      </w:r>
      <w:r w:rsidR="00754DDA">
        <w:t xml:space="preserve"> e</w:t>
      </w:r>
      <w:r>
        <w:t xml:space="preserve"> con </w:t>
      </w:r>
      <w:r w:rsidR="006F615A">
        <w:t xml:space="preserve">un’aggiunta di </w:t>
      </w:r>
      <w:r>
        <w:t>differenziazion</w:t>
      </w:r>
      <w:r w:rsidR="00754DDA">
        <w:t>i</w:t>
      </w:r>
      <w:r>
        <w:t xml:space="preserve"> al loro </w:t>
      </w:r>
      <w:r w:rsidR="002C7AF4">
        <w:t xml:space="preserve">stesso </w:t>
      </w:r>
      <w:r>
        <w:t xml:space="preserve">interno, </w:t>
      </w:r>
      <w:r w:rsidR="00754DDA">
        <w:t xml:space="preserve">più che da un Servizio Sanitario Nazionale unitario: il </w:t>
      </w:r>
      <w:r>
        <w:t>che ha</w:t>
      </w:r>
      <w:r w:rsidR="00754DDA">
        <w:t xml:space="preserve"> alimentato</w:t>
      </w:r>
      <w:r>
        <w:t xml:space="preserve"> fenomeni crescenti di mobilità sanitaria interregionale e, non di rado, </w:t>
      </w:r>
      <w:r w:rsidR="00754DDA">
        <w:t xml:space="preserve">di </w:t>
      </w:r>
      <w:r>
        <w:t>rinuncia alle cure</w:t>
      </w:r>
      <w:r w:rsidR="006F615A">
        <w:t xml:space="preserve"> da parte dei pazienti</w:t>
      </w:r>
      <w:r>
        <w:t>.</w:t>
      </w:r>
    </w:p>
    <w:p w14:paraId="34527284" w14:textId="79E5AAF4" w:rsidR="00241B57" w:rsidRDefault="00241B57" w:rsidP="008A4E67">
      <w:r>
        <w:t xml:space="preserve">Il secondo fattore di tensione </w:t>
      </w:r>
      <w:r w:rsidR="00173593">
        <w:t xml:space="preserve">è </w:t>
      </w:r>
      <w:r w:rsidR="00754DDA">
        <w:t>invece strettamente legato al</w:t>
      </w:r>
      <w:r w:rsidR="00173593">
        <w:t xml:space="preserve">l’arrivo della pandemia e </w:t>
      </w:r>
      <w:r w:rsidR="00754DDA">
        <w:t xml:space="preserve">si presenta, a sua volta, sotto </w:t>
      </w:r>
      <w:r w:rsidR="006F615A">
        <w:t xml:space="preserve">la </w:t>
      </w:r>
      <w:r w:rsidR="00754DDA">
        <w:t xml:space="preserve">forma di un’altra </w:t>
      </w:r>
      <w:r w:rsidR="00173593">
        <w:t xml:space="preserve">contraddizione </w:t>
      </w:r>
      <w:r w:rsidR="006F615A">
        <w:t xml:space="preserve">e cioè </w:t>
      </w:r>
      <w:r w:rsidR="00173593">
        <w:t>(cfr. secondo gruppo di dati della tabella 1):</w:t>
      </w:r>
    </w:p>
    <w:p w14:paraId="3FAA29AA" w14:textId="1BA9C440" w:rsidR="008A4E67" w:rsidRDefault="00754DDA" w:rsidP="005A06B0">
      <w:pPr>
        <w:pStyle w:val="Paragrafoelenco"/>
        <w:ind w:left="357" w:hanging="357"/>
      </w:pPr>
      <w:r>
        <w:t xml:space="preserve">quella </w:t>
      </w:r>
      <w:r w:rsidR="00173593">
        <w:t xml:space="preserve">di dover far fronte, da un lato all’assistenza </w:t>
      </w:r>
      <w:r>
        <w:t xml:space="preserve">straordinaria </w:t>
      </w:r>
      <w:r w:rsidR="00173593">
        <w:t xml:space="preserve">dei pazienti Covid via via che si sono </w:t>
      </w:r>
      <w:r>
        <w:t xml:space="preserve">andate </w:t>
      </w:r>
      <w:r w:rsidR="00173593">
        <w:t>manifesta</w:t>
      </w:r>
      <w:r>
        <w:t>ndo</w:t>
      </w:r>
      <w:r w:rsidR="00173593">
        <w:t xml:space="preserve"> le diverse “ondate”</w:t>
      </w:r>
      <w:r>
        <w:t xml:space="preserve"> del virus</w:t>
      </w:r>
      <w:r w:rsidR="00173593">
        <w:t>;</w:t>
      </w:r>
    </w:p>
    <w:p w14:paraId="25977442" w14:textId="6A2A72D7" w:rsidR="00173593" w:rsidRDefault="00754DDA" w:rsidP="005A06B0">
      <w:pPr>
        <w:pStyle w:val="Paragrafoelenco"/>
        <w:ind w:left="357" w:hanging="357"/>
      </w:pPr>
      <w:r>
        <w:t>e quella,</w:t>
      </w:r>
      <w:r w:rsidR="00173593">
        <w:t xml:space="preserve"> dall’altro, di dover bloccare le prestazioni ordinarie </w:t>
      </w:r>
      <w:r w:rsidR="005D77A9">
        <w:t xml:space="preserve">richieste </w:t>
      </w:r>
      <w:r w:rsidR="00173593">
        <w:t>d</w:t>
      </w:r>
      <w:r w:rsidR="005D77A9">
        <w:t>a</w:t>
      </w:r>
      <w:r w:rsidR="00173593">
        <w:t>i pazienti non-Covid così come è avvenuto nel corso de</w:t>
      </w:r>
      <w:r w:rsidR="003B30D5">
        <w:t>ll’</w:t>
      </w:r>
      <w:r w:rsidR="00173593">
        <w:t>ultim</w:t>
      </w:r>
      <w:r w:rsidR="003B30D5">
        <w:t>o biennio</w:t>
      </w:r>
      <w:r w:rsidR="00173593">
        <w:t xml:space="preserve">: e questo </w:t>
      </w:r>
      <w:r w:rsidR="003B30D5">
        <w:t xml:space="preserve">si </w:t>
      </w:r>
      <w:r w:rsidR="00173593">
        <w:t xml:space="preserve">è </w:t>
      </w:r>
      <w:r w:rsidR="003B30D5">
        <w:t>verifica</w:t>
      </w:r>
      <w:r w:rsidR="003B30D5">
        <w:softHyphen/>
        <w:t xml:space="preserve">to, </w:t>
      </w:r>
      <w:r w:rsidR="005D77A9">
        <w:t>nell’anno 2020</w:t>
      </w:r>
      <w:r w:rsidR="00173593">
        <w:t xml:space="preserve">, per </w:t>
      </w:r>
      <w:r w:rsidR="003B30D5">
        <w:t xml:space="preserve">circa </w:t>
      </w:r>
      <w:r w:rsidR="005D77A9">
        <w:t xml:space="preserve">il </w:t>
      </w:r>
      <w:r w:rsidR="00173593">
        <w:t xml:space="preserve">50% </w:t>
      </w:r>
      <w:r w:rsidR="003B30D5">
        <w:t xml:space="preserve">dei pazienti non-Covid, con riferimento alle </w:t>
      </w:r>
      <w:r w:rsidR="00173593">
        <w:t>principali prestazioni, ma</w:t>
      </w:r>
      <w:r w:rsidR="005D77A9">
        <w:t xml:space="preserve"> </w:t>
      </w:r>
      <w:r w:rsidR="00173593">
        <w:t>con una punta</w:t>
      </w:r>
      <w:r w:rsidR="005D77A9">
        <w:t>, ad esempio,</w:t>
      </w:r>
      <w:r w:rsidR="00173593">
        <w:t xml:space="preserve"> del 71,5% per ciò che riguarda gli interventi chirurgici programmati</w:t>
      </w:r>
      <w:r w:rsidR="005D77A9">
        <w:t>, fermo restando che</w:t>
      </w:r>
      <w:r w:rsidR="00173593">
        <w:t xml:space="preserve"> tale fenomeno si è </w:t>
      </w:r>
      <w:r w:rsidR="003B30D5">
        <w:t>manife</w:t>
      </w:r>
      <w:r w:rsidR="003B30D5">
        <w:softHyphen/>
        <w:t>stato</w:t>
      </w:r>
      <w:r w:rsidR="005D77A9">
        <w:t xml:space="preserve"> –</w:t>
      </w:r>
      <w:r w:rsidR="00173593">
        <w:t xml:space="preserve"> sia pure in maniera lievemente inferiore</w:t>
      </w:r>
      <w:r w:rsidR="005D77A9">
        <w:t xml:space="preserve"> –</w:t>
      </w:r>
      <w:r w:rsidR="00173593">
        <w:t xml:space="preserve"> </w:t>
      </w:r>
      <w:r w:rsidR="003B30D5">
        <w:t xml:space="preserve">anche </w:t>
      </w:r>
      <w:r w:rsidR="00173593">
        <w:t>per l’anno 2021.</w:t>
      </w:r>
    </w:p>
    <w:p w14:paraId="74E14F0C" w14:textId="63664C88" w:rsidR="00173593" w:rsidRDefault="005D77A9" w:rsidP="00173593">
      <w:r>
        <w:t xml:space="preserve">A conferma di quanto dichiarato dagli intervistati, </w:t>
      </w:r>
      <w:r w:rsidR="00173593">
        <w:t xml:space="preserve">i dati </w:t>
      </w:r>
      <w:r w:rsidR="003B30D5">
        <w:t xml:space="preserve">oggettivi </w:t>
      </w:r>
      <w:r w:rsidR="00173593">
        <w:t>forniti dalle strutture sanitarie sull</w:t>
      </w:r>
      <w:r>
        <w:t>a contrazione dell</w:t>
      </w:r>
      <w:r w:rsidR="00173593">
        <w:t xml:space="preserve">e prestazioni nei confronti dei pazienti non-Covid </w:t>
      </w:r>
      <w:r>
        <w:t>risulta</w:t>
      </w:r>
      <w:r w:rsidR="002C7AF4">
        <w:t>no essere</w:t>
      </w:r>
      <w:r>
        <w:t xml:space="preserve"> </w:t>
      </w:r>
      <w:r w:rsidR="00173593">
        <w:t xml:space="preserve">pari al -21,0% </w:t>
      </w:r>
      <w:r>
        <w:t xml:space="preserve">tra il 2019 e il 2020 </w:t>
      </w:r>
      <w:r w:rsidR="00173593">
        <w:t>per quanto riguarda i</w:t>
      </w:r>
      <w:r>
        <w:t xml:space="preserve"> ricoveri</w:t>
      </w:r>
      <w:r w:rsidR="00173593">
        <w:t xml:space="preserve"> ospedalieri: ma </w:t>
      </w:r>
      <w:r>
        <w:t>diventa</w:t>
      </w:r>
      <w:r w:rsidR="002C7AF4">
        <w:t>no</w:t>
      </w:r>
      <w:r>
        <w:t xml:space="preserve"> del </w:t>
      </w:r>
      <w:r w:rsidR="00173593">
        <w:t xml:space="preserve">-23,9% per il Mezzogiorno e </w:t>
      </w:r>
      <w:r>
        <w:t>si acuisc</w:t>
      </w:r>
      <w:r w:rsidR="002C7AF4">
        <w:t>ono</w:t>
      </w:r>
      <w:r>
        <w:t xml:space="preserve"> </w:t>
      </w:r>
      <w:r w:rsidR="003B30D5">
        <w:t xml:space="preserve">ulteriormente </w:t>
      </w:r>
      <w:r w:rsidR="00173593">
        <w:t xml:space="preserve">in alcune Regioni come </w:t>
      </w:r>
      <w:r>
        <w:t xml:space="preserve">ad esempio </w:t>
      </w:r>
      <w:r w:rsidR="003B30D5">
        <w:t xml:space="preserve">in </w:t>
      </w:r>
      <w:r w:rsidR="00173593">
        <w:t xml:space="preserve">Puglia (-28,1%) o </w:t>
      </w:r>
      <w:r w:rsidR="003B30D5">
        <w:t xml:space="preserve">in </w:t>
      </w:r>
      <w:r w:rsidR="00173593">
        <w:t>Calabria (-30,6%). Mentre le prestazioni specialistiche sono diminuite</w:t>
      </w:r>
      <w:r>
        <w:t>,</w:t>
      </w:r>
      <w:r w:rsidR="00173593">
        <w:t xml:space="preserve"> nei primi 9 mesi del 2020 rispetto al corrispondente periodo del 2019</w:t>
      </w:r>
      <w:r>
        <w:t>,</w:t>
      </w:r>
      <w:r w:rsidR="00173593">
        <w:t xml:space="preserve"> </w:t>
      </w:r>
      <w:r w:rsidR="00E15596">
        <w:t xml:space="preserve">nella misura del -30,3% medio nazionale, ma con </w:t>
      </w:r>
      <w:r w:rsidR="003B30D5">
        <w:t>valori</w:t>
      </w:r>
      <w:r>
        <w:t xml:space="preserve"> </w:t>
      </w:r>
      <w:r w:rsidR="003B30D5">
        <w:t xml:space="preserve">ben </w:t>
      </w:r>
      <w:r w:rsidR="00E15596">
        <w:t>più elevat</w:t>
      </w:r>
      <w:r w:rsidR="003B30D5">
        <w:t>i</w:t>
      </w:r>
      <w:r w:rsidR="00E15596">
        <w:t xml:space="preserve"> in alcune Regioni come la Lombardia (-51,9%), la Provincia di Bolzano (-48,8%), le Marche (-38,3%) e la Calabria (-39,2%)</w:t>
      </w:r>
      <w:r w:rsidR="00E15596">
        <w:rPr>
          <w:rStyle w:val="Rimandonotaapidipagina"/>
        </w:rPr>
        <w:footnoteReference w:id="2"/>
      </w:r>
      <w:r w:rsidR="00E15596">
        <w:t>.</w:t>
      </w:r>
    </w:p>
    <w:p w14:paraId="68593F57" w14:textId="63EF33D4" w:rsidR="00E15596" w:rsidRDefault="00E15596" w:rsidP="00173593"/>
    <w:p w14:paraId="3AAE21CB" w14:textId="6692F00B" w:rsidR="0063726B" w:rsidRPr="0063726B" w:rsidRDefault="0063726B" w:rsidP="0063726B">
      <w:pPr>
        <w:spacing w:before="0" w:after="0"/>
        <w:rPr>
          <w:i/>
          <w:iCs/>
        </w:rPr>
      </w:pPr>
      <w:r>
        <w:rPr>
          <w:b/>
          <w:bCs/>
          <w:sz w:val="32"/>
        </w:rPr>
        <w:t>2</w:t>
      </w:r>
      <w:r w:rsidRPr="00F0070F">
        <w:rPr>
          <w:b/>
          <w:bCs/>
          <w:sz w:val="32"/>
        </w:rPr>
        <w:t>.</w:t>
      </w:r>
      <w:r w:rsidRPr="00F0070F">
        <w:rPr>
          <w:b/>
          <w:bCs/>
          <w:i/>
          <w:iCs/>
          <w:sz w:val="28"/>
        </w:rPr>
        <w:t xml:space="preserve"> </w:t>
      </w:r>
      <w:r>
        <w:rPr>
          <w:i/>
          <w:iCs/>
          <w:u w:val="single"/>
        </w:rPr>
        <w:t>Seconda</w:t>
      </w:r>
      <w:r w:rsidRPr="00E30C36">
        <w:rPr>
          <w:i/>
          <w:iCs/>
          <w:u w:val="single"/>
        </w:rPr>
        <w:t xml:space="preserve"> tesi</w:t>
      </w:r>
      <w:r w:rsidRPr="00E30C36">
        <w:rPr>
          <w:i/>
          <w:iCs/>
        </w:rPr>
        <w:t xml:space="preserve">: </w:t>
      </w:r>
      <w:r>
        <w:rPr>
          <w:i/>
          <w:iCs/>
        </w:rPr>
        <w:t xml:space="preserve">L’esperienza dei pazienti Covid intervistati si è rivelata essere stata decisamente impegnativa sia nella fase del contagio sia </w:t>
      </w:r>
      <w:r w:rsidR="00CD4DE7">
        <w:rPr>
          <w:i/>
          <w:iCs/>
        </w:rPr>
        <w:t>in quella del post-contagio a causa del</w:t>
      </w:r>
      <w:r>
        <w:rPr>
          <w:i/>
          <w:iCs/>
        </w:rPr>
        <w:t xml:space="preserve">le conseguenze manifestatesi </w:t>
      </w:r>
      <w:r w:rsidR="00CD4DE7">
        <w:rPr>
          <w:i/>
          <w:iCs/>
        </w:rPr>
        <w:t>(</w:t>
      </w:r>
      <w:r>
        <w:t>long Covid</w:t>
      </w:r>
      <w:r w:rsidR="00CD4DE7">
        <w:rPr>
          <w:i/>
          <w:iCs/>
        </w:rPr>
        <w:t>) ed è stata</w:t>
      </w:r>
      <w:r>
        <w:rPr>
          <w:i/>
          <w:iCs/>
        </w:rPr>
        <w:t xml:space="preserve"> accompagnata da una “esplosione” della domanda di prestazioni sanitarie ordinarie</w:t>
      </w:r>
      <w:r w:rsidR="00CD4DE7">
        <w:rPr>
          <w:i/>
          <w:iCs/>
        </w:rPr>
        <w:t>, mentre si è verificata</w:t>
      </w:r>
      <w:r>
        <w:rPr>
          <w:i/>
          <w:iCs/>
        </w:rPr>
        <w:t xml:space="preserve"> </w:t>
      </w:r>
      <w:r w:rsidR="00CD4DE7">
        <w:rPr>
          <w:i/>
          <w:iCs/>
        </w:rPr>
        <w:t xml:space="preserve">una contrazione più che significativa </w:t>
      </w:r>
      <w:r w:rsidR="003B30D5">
        <w:rPr>
          <w:i/>
          <w:iCs/>
        </w:rPr>
        <w:t>della domanda da parte de</w:t>
      </w:r>
      <w:r w:rsidR="00CD4DE7">
        <w:rPr>
          <w:i/>
          <w:iCs/>
        </w:rPr>
        <w:t xml:space="preserve">i pazienti </w:t>
      </w:r>
      <w:r w:rsidR="003B30D5">
        <w:rPr>
          <w:i/>
          <w:iCs/>
        </w:rPr>
        <w:t>non-</w:t>
      </w:r>
      <w:r w:rsidR="00CD4DE7">
        <w:rPr>
          <w:i/>
          <w:iCs/>
        </w:rPr>
        <w:t>Covid</w:t>
      </w:r>
      <w:r w:rsidR="003B30D5">
        <w:rPr>
          <w:i/>
          <w:iCs/>
        </w:rPr>
        <w:t>,</w:t>
      </w:r>
      <w:r w:rsidR="00CD4DE7">
        <w:rPr>
          <w:i/>
          <w:iCs/>
        </w:rPr>
        <w:t xml:space="preserve"> </w:t>
      </w:r>
      <w:r>
        <w:rPr>
          <w:i/>
          <w:iCs/>
        </w:rPr>
        <w:t xml:space="preserve">con il relativo impatto sulla salute </w:t>
      </w:r>
      <w:r w:rsidRPr="003B30D5">
        <w:rPr>
          <w:i/>
          <w:iCs/>
        </w:rPr>
        <w:t>d</w:t>
      </w:r>
      <w:r w:rsidR="003B30D5">
        <w:rPr>
          <w:i/>
          <w:iCs/>
        </w:rPr>
        <w:t xml:space="preserve">i </w:t>
      </w:r>
      <w:r w:rsidR="003B30D5" w:rsidRPr="002C7AF4">
        <w:rPr>
          <w:i/>
          <w:iCs/>
        </w:rPr>
        <w:t>questi ultimi</w:t>
      </w:r>
      <w:r w:rsidR="003B30D5">
        <w:rPr>
          <w:i/>
          <w:iCs/>
        </w:rPr>
        <w:t>.</w:t>
      </w:r>
    </w:p>
    <w:p w14:paraId="6AA44313" w14:textId="1DD3B1AB" w:rsidR="0063726B" w:rsidRDefault="0063726B" w:rsidP="00173593">
      <w:r>
        <w:lastRenderedPageBreak/>
        <w:t>A tale proposito i dati della tabella 2 risultano abbastanza evidenti</w:t>
      </w:r>
      <w:r w:rsidR="00CB196D">
        <w:t>,</w:t>
      </w:r>
      <w:r>
        <w:t xml:space="preserve"> visto che:</w:t>
      </w:r>
    </w:p>
    <w:p w14:paraId="2FC41565" w14:textId="2E20F274" w:rsidR="00BA33BB" w:rsidRDefault="0063726B" w:rsidP="005A06B0">
      <w:pPr>
        <w:pStyle w:val="Paragrafoelenco"/>
        <w:ind w:left="357" w:hanging="357"/>
      </w:pPr>
      <w:r>
        <w:t xml:space="preserve">il </w:t>
      </w:r>
      <w:r w:rsidR="006E378E" w:rsidRPr="00D44A36">
        <w:t>65,6</w:t>
      </w:r>
      <w:r>
        <w:t xml:space="preserve">% degli ex pazienti Covid </w:t>
      </w:r>
      <w:r w:rsidR="003B30D5">
        <w:t xml:space="preserve">ammette </w:t>
      </w:r>
      <w:r>
        <w:t xml:space="preserve">che </w:t>
      </w:r>
      <w:r w:rsidR="003B30D5">
        <w:t xml:space="preserve">il percorso di </w:t>
      </w:r>
      <w:r w:rsidR="00CB196D">
        <w:t>uscita dal contagio si è rivelat</w:t>
      </w:r>
      <w:r w:rsidR="003B30D5">
        <w:t>o</w:t>
      </w:r>
      <w:r w:rsidR="00CB196D">
        <w:t xml:space="preserve"> essere stat</w:t>
      </w:r>
      <w:r w:rsidR="003B30D5">
        <w:t>o</w:t>
      </w:r>
      <w:r w:rsidR="00CB196D">
        <w:t xml:space="preserve"> </w:t>
      </w:r>
      <w:r>
        <w:t>“molto e/o abbastanza lung</w:t>
      </w:r>
      <w:r w:rsidR="003B30D5">
        <w:t>o</w:t>
      </w:r>
      <w:r>
        <w:t>” e</w:t>
      </w:r>
      <w:r w:rsidR="00CB196D">
        <w:t>, parallelamente</w:t>
      </w:r>
      <w:r w:rsidR="00CB196D" w:rsidRPr="00D44A36">
        <w:t>,</w:t>
      </w:r>
      <w:r w:rsidRPr="00D44A36">
        <w:t xml:space="preserve"> il </w:t>
      </w:r>
      <w:r w:rsidR="006E378E" w:rsidRPr="00D44A36">
        <w:t>63,2</w:t>
      </w:r>
      <w:r w:rsidRPr="00D44A36">
        <w:t>%</w:t>
      </w:r>
      <w:r w:rsidR="00CB196D" w:rsidRPr="00D44A36">
        <w:t xml:space="preserve"> </w:t>
      </w:r>
      <w:r w:rsidR="00CB196D">
        <w:t>ha ammesso che si è</w:t>
      </w:r>
      <w:r w:rsidR="003B30D5">
        <w:t xml:space="preserve"> trattato anche di un’esperienza</w:t>
      </w:r>
      <w:r>
        <w:t xml:space="preserve"> “molto e/o abbastanza pesante”:</w:t>
      </w:r>
      <w:r w:rsidR="00CB196D">
        <w:t xml:space="preserve"> incrociando </w:t>
      </w:r>
      <w:r w:rsidR="003B30D5">
        <w:t xml:space="preserve">poi </w:t>
      </w:r>
      <w:r w:rsidR="00CB196D">
        <w:t>i due giudizi</w:t>
      </w:r>
      <w:r w:rsidR="003B30D5">
        <w:t>,</w:t>
      </w:r>
      <w:r w:rsidR="00CB196D">
        <w:t xml:space="preserve"> si è visto come </w:t>
      </w:r>
      <w:r>
        <w:t xml:space="preserve">l’87,8% </w:t>
      </w:r>
      <w:r w:rsidR="003B30D5">
        <w:t xml:space="preserve">di coloro </w:t>
      </w:r>
      <w:r w:rsidR="00CB196D">
        <w:t>che ha</w:t>
      </w:r>
      <w:r w:rsidR="003B30D5">
        <w:t xml:space="preserve">nno dichiarato </w:t>
      </w:r>
      <w:r w:rsidR="00CB196D">
        <w:t xml:space="preserve">un’esperienza lunga </w:t>
      </w:r>
      <w:r>
        <w:t>ha</w:t>
      </w:r>
      <w:r w:rsidR="003B30D5">
        <w:t xml:space="preserve"> sofferto</w:t>
      </w:r>
      <w:r>
        <w:t xml:space="preserve"> anche </w:t>
      </w:r>
      <w:r w:rsidR="00CB196D">
        <w:t>d</w:t>
      </w:r>
      <w:r w:rsidR="003B30D5">
        <w:t>i</w:t>
      </w:r>
      <w:r w:rsidR="00CB196D">
        <w:t xml:space="preserve"> conseguenze pesanti</w:t>
      </w:r>
      <w:r>
        <w:t>;</w:t>
      </w:r>
    </w:p>
    <w:p w14:paraId="6AE9B6FD" w14:textId="09314FFC" w:rsidR="0063726B" w:rsidRDefault="00CB196D" w:rsidP="005A06B0">
      <w:pPr>
        <w:pStyle w:val="Paragrafoelenco"/>
        <w:ind w:left="357" w:hanging="357"/>
      </w:pPr>
      <w:r>
        <w:t xml:space="preserve">inoltre </w:t>
      </w:r>
      <w:r w:rsidR="0063726B">
        <w:t xml:space="preserve">il 56,2% dei contagiati ha registrato </w:t>
      </w:r>
      <w:r w:rsidR="00AF23C6">
        <w:t xml:space="preserve">anche </w:t>
      </w:r>
      <w:r>
        <w:t xml:space="preserve">dei problemi </w:t>
      </w:r>
      <w:r w:rsidR="00AF23C6">
        <w:t xml:space="preserve">di </w:t>
      </w:r>
      <w:r w:rsidR="00AF23C6">
        <w:rPr>
          <w:i/>
          <w:iCs/>
        </w:rPr>
        <w:t>long Covid</w:t>
      </w:r>
      <w:r w:rsidR="00AF23C6">
        <w:t xml:space="preserve">, di cui un terzo (il 18,9%) </w:t>
      </w:r>
      <w:r>
        <w:t>di tipo “</w:t>
      </w:r>
      <w:r w:rsidR="00AF23C6">
        <w:t>seri</w:t>
      </w:r>
      <w:r>
        <w:t xml:space="preserve">o” </w:t>
      </w:r>
      <w:r w:rsidR="00AF23C6">
        <w:t xml:space="preserve">e, se questo è avvenuto, la quasi totalità del suddetto 18,9% ha vissuto delle conseguenze non solo “serie” bensì anche “lunghe” (fermo restando che </w:t>
      </w:r>
      <w:r w:rsidR="00D06016">
        <w:t xml:space="preserve">anche </w:t>
      </w:r>
      <w:r w:rsidR="00AF23C6">
        <w:t xml:space="preserve">l’eventuale </w:t>
      </w:r>
      <w:r w:rsidR="00AF23C6">
        <w:rPr>
          <w:i/>
          <w:iCs/>
        </w:rPr>
        <w:t xml:space="preserve">long Covid </w:t>
      </w:r>
      <w:r w:rsidR="00632FF3">
        <w:t>“</w:t>
      </w:r>
      <w:r w:rsidR="00AF23C6">
        <w:t>leggero</w:t>
      </w:r>
      <w:r w:rsidR="00632FF3">
        <w:t>”</w:t>
      </w:r>
      <w:r w:rsidR="00AF23C6">
        <w:t xml:space="preserve"> si è fatto sentire comunque a lungo per quasi 3/4 degli interessati);</w:t>
      </w:r>
    </w:p>
    <w:p w14:paraId="48EC6A1F" w14:textId="6637D1B4" w:rsidR="00AF23C6" w:rsidRDefault="00AF23C6" w:rsidP="005A06B0">
      <w:pPr>
        <w:pStyle w:val="Paragrafoelenco"/>
        <w:ind w:left="357" w:hanging="357"/>
      </w:pPr>
      <w:r>
        <w:t xml:space="preserve">ed infine, l’esperienza Covid ha trascinato con sé anche una domanda straordinaria di prestazioni sanitarie ordinarie, </w:t>
      </w:r>
      <w:r w:rsidR="00137A0C">
        <w:t xml:space="preserve">in larga parte </w:t>
      </w:r>
      <w:r>
        <w:t xml:space="preserve">probabilmente per i disagi derivanti dal </w:t>
      </w:r>
      <w:r>
        <w:rPr>
          <w:i/>
          <w:iCs/>
        </w:rPr>
        <w:t>long Covid</w:t>
      </w:r>
      <w:r>
        <w:t>, mentre la popolazione ha espresso una domanda decrescente di presta</w:t>
      </w:r>
      <w:r w:rsidR="00137A0C">
        <w:softHyphen/>
      </w:r>
      <w:r>
        <w:t xml:space="preserve">zioni sia per il blocco/rimando delle medesime sia per la rinuncia spesso avvenuta per </w:t>
      </w:r>
      <w:r w:rsidR="00137A0C">
        <w:t xml:space="preserve">il </w:t>
      </w:r>
      <w:r>
        <w:t>timore di potersi contagiare</w:t>
      </w:r>
      <w:r w:rsidR="00137A0C">
        <w:t xml:space="preserve"> entrando nelle strutture sanitarie</w:t>
      </w:r>
      <w:r>
        <w:t>:</w:t>
      </w:r>
      <w:r w:rsidR="00137A0C">
        <w:t xml:space="preserve"> infatti </w:t>
      </w:r>
      <w:r>
        <w:t>i dati sull’an</w:t>
      </w:r>
      <w:r w:rsidR="00137A0C">
        <w:softHyphen/>
      </w:r>
      <w:r>
        <w:t>damento delle liste di attesa risultano in contrazione per la popolazione, tra il 2020 e il 2021, mentre si sono rivelati in forte espansione (da 3,8 a 8,3 volte in più nel 2020 e di circa 5 volte di più nel 2021) per i pazienti Covid.</w:t>
      </w:r>
    </w:p>
    <w:p w14:paraId="4878B125" w14:textId="07A98487" w:rsidR="00AF23C6" w:rsidRDefault="00AF23C6" w:rsidP="00AF23C6"/>
    <w:p w14:paraId="01F1C33B" w14:textId="24E77041" w:rsidR="00DD1B89" w:rsidRDefault="00DD1B89" w:rsidP="00DD1B89">
      <w:pPr>
        <w:spacing w:before="0" w:after="0"/>
        <w:rPr>
          <w:i/>
          <w:iCs/>
        </w:rPr>
      </w:pPr>
      <w:r>
        <w:rPr>
          <w:b/>
          <w:bCs/>
          <w:sz w:val="32"/>
        </w:rPr>
        <w:t>3</w:t>
      </w:r>
      <w:r w:rsidRPr="00F0070F">
        <w:rPr>
          <w:b/>
          <w:bCs/>
          <w:sz w:val="32"/>
        </w:rPr>
        <w:t>.</w:t>
      </w:r>
      <w:r w:rsidRPr="00F0070F">
        <w:rPr>
          <w:b/>
          <w:bCs/>
          <w:i/>
          <w:iCs/>
          <w:sz w:val="28"/>
        </w:rPr>
        <w:t xml:space="preserve"> </w:t>
      </w:r>
      <w:r>
        <w:rPr>
          <w:i/>
          <w:iCs/>
          <w:u w:val="single"/>
        </w:rPr>
        <w:t xml:space="preserve">Terza </w:t>
      </w:r>
      <w:r w:rsidRPr="00E30C36">
        <w:rPr>
          <w:i/>
          <w:iCs/>
          <w:u w:val="single"/>
        </w:rPr>
        <w:t>tesi</w:t>
      </w:r>
      <w:r w:rsidRPr="00E30C36">
        <w:rPr>
          <w:i/>
          <w:iCs/>
        </w:rPr>
        <w:t xml:space="preserve">: </w:t>
      </w:r>
      <w:r>
        <w:rPr>
          <w:i/>
          <w:iCs/>
        </w:rPr>
        <w:t xml:space="preserve">Si è </w:t>
      </w:r>
      <w:r w:rsidR="00632FF3">
        <w:rPr>
          <w:i/>
          <w:iCs/>
        </w:rPr>
        <w:t>rilevat</w:t>
      </w:r>
      <w:r w:rsidR="00137A0C">
        <w:rPr>
          <w:i/>
          <w:iCs/>
        </w:rPr>
        <w:t>o</w:t>
      </w:r>
      <w:r w:rsidR="00632FF3">
        <w:rPr>
          <w:i/>
          <w:iCs/>
        </w:rPr>
        <w:t xml:space="preserve"> </w:t>
      </w:r>
      <w:r>
        <w:rPr>
          <w:i/>
          <w:iCs/>
        </w:rPr>
        <w:t xml:space="preserve">un graduale </w:t>
      </w:r>
      <w:r w:rsidR="00137A0C">
        <w:rPr>
          <w:i/>
          <w:iCs/>
        </w:rPr>
        <w:t xml:space="preserve">processo di </w:t>
      </w:r>
      <w:r>
        <w:rPr>
          <w:i/>
          <w:iCs/>
        </w:rPr>
        <w:t>socializzazione alla pandemia</w:t>
      </w:r>
      <w:r w:rsidR="00632FF3">
        <w:rPr>
          <w:i/>
          <w:iCs/>
        </w:rPr>
        <w:t>, passando dal</w:t>
      </w:r>
      <w:r w:rsidR="00137A0C">
        <w:rPr>
          <w:i/>
          <w:iCs/>
        </w:rPr>
        <w:t>l’anno</w:t>
      </w:r>
      <w:r w:rsidR="00632FF3">
        <w:rPr>
          <w:i/>
          <w:iCs/>
        </w:rPr>
        <w:t xml:space="preserve"> 2020 al</w:t>
      </w:r>
      <w:r w:rsidR="00137A0C">
        <w:rPr>
          <w:i/>
          <w:iCs/>
        </w:rPr>
        <w:t>l’anno</w:t>
      </w:r>
      <w:r w:rsidR="00632FF3">
        <w:rPr>
          <w:i/>
          <w:iCs/>
        </w:rPr>
        <w:t xml:space="preserve"> 2021,</w:t>
      </w:r>
      <w:r>
        <w:rPr>
          <w:i/>
          <w:iCs/>
        </w:rPr>
        <w:t xml:space="preserve"> che però tende a polarizzare le posizioni e a far emergere un certo “disagio dei vaccinati”.</w:t>
      </w:r>
    </w:p>
    <w:p w14:paraId="6286F0AB" w14:textId="4C1428A5" w:rsidR="00DD1B89" w:rsidRDefault="00DC2A1F" w:rsidP="00DD1B89">
      <w:r>
        <w:t xml:space="preserve">Nella tabella 3 sono </w:t>
      </w:r>
      <w:r w:rsidR="007E1C56">
        <w:t xml:space="preserve">stati </w:t>
      </w:r>
      <w:r>
        <w:t>riportati i risultati che mettono a confronto le opinioni della popolazione, da un lato e quelle de</w:t>
      </w:r>
      <w:r w:rsidR="003B6632">
        <w:t>gli ex</w:t>
      </w:r>
      <w:r>
        <w:t xml:space="preserve"> pazienti Covid dall’altro, con riferimento a tre aspetti: </w:t>
      </w:r>
      <w:r w:rsidR="003B6632">
        <w:t>l’andamento de</w:t>
      </w:r>
      <w:r>
        <w:t>gli atteggiamenti generali verso la pandemia, la valutazione del</w:t>
      </w:r>
      <w:r w:rsidR="003B6632">
        <w:t>lo strumento del</w:t>
      </w:r>
      <w:r>
        <w:t xml:space="preserve"> </w:t>
      </w:r>
      <w:r>
        <w:rPr>
          <w:i/>
          <w:iCs/>
        </w:rPr>
        <w:t xml:space="preserve">Green pass </w:t>
      </w:r>
      <w:r>
        <w:t>e</w:t>
      </w:r>
      <w:r w:rsidR="003B6632">
        <w:t xml:space="preserve"> il manifestarsi dell</w:t>
      </w:r>
      <w:r w:rsidR="00C440F9">
        <w:t xml:space="preserve">’esigenza di </w:t>
      </w:r>
      <w:r>
        <w:t>un migliore equilibrio assi</w:t>
      </w:r>
      <w:r w:rsidR="003B6632">
        <w:softHyphen/>
      </w:r>
      <w:r>
        <w:t xml:space="preserve">stenziale tra </w:t>
      </w:r>
      <w:r w:rsidR="00C440F9">
        <w:t xml:space="preserve">pazienti Covid e pazienti non-Covid come pure tra vaccinati </w:t>
      </w:r>
      <w:r>
        <w:t>e non vaccinati</w:t>
      </w:r>
      <w:r>
        <w:rPr>
          <w:rStyle w:val="Rimandonotaapidipagina"/>
        </w:rPr>
        <w:footnoteReference w:id="3"/>
      </w:r>
      <w:r w:rsidR="000C70E7">
        <w:t>.</w:t>
      </w:r>
    </w:p>
    <w:p w14:paraId="24F4B5CB" w14:textId="35EF4753" w:rsidR="00393936" w:rsidRDefault="000C70E7" w:rsidP="00DD1B89">
      <w:r>
        <w:t>Il primo gruppo di dati mette in evidenza</w:t>
      </w:r>
      <w:r w:rsidR="00102033">
        <w:t>, confrontando le risposte del 2020 con quelle del 2021,</w:t>
      </w:r>
      <w:r>
        <w:t xml:space="preserve"> un’attenuazione degli atteggiamenti proattivi della popolazione</w:t>
      </w:r>
      <w:r w:rsidR="00393936">
        <w:t>. Esiste infatti</w:t>
      </w:r>
      <w:r w:rsidR="007C6E80">
        <w:t xml:space="preserve"> una diminuzione del livello di accordo </w:t>
      </w:r>
      <w:r w:rsidR="00393936">
        <w:t xml:space="preserve">sulle affermazioni sottoposte a giudizio </w:t>
      </w:r>
      <w:r w:rsidR="007C6E80">
        <w:t>di circa 6-7 punti percentuali</w:t>
      </w:r>
      <w:r w:rsidR="00102033">
        <w:t xml:space="preserve"> in media</w:t>
      </w:r>
      <w:r w:rsidR="007C6E80">
        <w:t>,</w:t>
      </w:r>
      <w:r w:rsidR="00102033">
        <w:t xml:space="preserve"> che però</w:t>
      </w:r>
      <w:r w:rsidR="007C6E80">
        <w:t xml:space="preserve"> </w:t>
      </w:r>
      <w:r w:rsidR="00102033">
        <w:t>arrivano a</w:t>
      </w:r>
      <w:r w:rsidR="007C6E80">
        <w:t xml:space="preserve"> 15 punti in meno </w:t>
      </w:r>
      <w:r w:rsidR="00102033">
        <w:t xml:space="preserve">se si prende in considerazione </w:t>
      </w:r>
      <w:r w:rsidR="00393936">
        <w:t xml:space="preserve">specificamente </w:t>
      </w:r>
      <w:r w:rsidR="007C6E80">
        <w:t>la prima affermazione, la quale</w:t>
      </w:r>
      <w:r w:rsidR="00102033">
        <w:t xml:space="preserve"> risente probabilmente </w:t>
      </w:r>
      <w:r w:rsidR="007C6E80">
        <w:t xml:space="preserve">di una certa (inevitabile) stanchezza rispetto al prolungarsi della pandemia. </w:t>
      </w:r>
    </w:p>
    <w:p w14:paraId="11EFCA6C" w14:textId="23D1F735" w:rsidR="000C70E7" w:rsidRDefault="007C6E80" w:rsidP="00DD1B89">
      <w:r>
        <w:t xml:space="preserve">Nel caso dei pazienti </w:t>
      </w:r>
      <w:r w:rsidR="00E3464B">
        <w:t xml:space="preserve">ex </w:t>
      </w:r>
      <w:r>
        <w:t xml:space="preserve">Covid il </w:t>
      </w:r>
      <w:r w:rsidR="00393936">
        <w:t xml:space="preserve">livello di </w:t>
      </w:r>
      <w:r>
        <w:t>consenso scende ulteriormente tra 7 e 12 punti percentuali rispetto a</w:t>
      </w:r>
      <w:r w:rsidR="00E3464B">
        <w:t xml:space="preserve"> quello de</w:t>
      </w:r>
      <w:r>
        <w:t>lla popolazione, mentre si manifesta un livello più che consistente di dissenso</w:t>
      </w:r>
      <w:r w:rsidR="00E06DA7">
        <w:t xml:space="preserve"> che si posiziona</w:t>
      </w:r>
      <w:r>
        <w:t xml:space="preserve"> </w:t>
      </w:r>
      <w:r w:rsidR="00E06DA7">
        <w:t>tra i</w:t>
      </w:r>
      <w:r>
        <w:t>l 26%</w:t>
      </w:r>
      <w:r w:rsidR="00E06DA7">
        <w:t xml:space="preserve"> e il </w:t>
      </w:r>
      <w:r>
        <w:t>32%</w:t>
      </w:r>
      <w:r w:rsidR="003413E9">
        <w:t xml:space="preserve"> (specie sull’opportunità di estendere la vaccinazione e di </w:t>
      </w:r>
      <w:r w:rsidR="00E3464B">
        <w:t xml:space="preserve">sostenerla </w:t>
      </w:r>
      <w:r w:rsidR="003413E9">
        <w:t>per ragioni di solidarietà collettiva)</w:t>
      </w:r>
      <w:r w:rsidR="00E06DA7">
        <w:t>: il che</w:t>
      </w:r>
      <w:r>
        <w:t xml:space="preserve"> conferma l’emergere </w:t>
      </w:r>
      <w:r w:rsidR="00E3464B">
        <w:t xml:space="preserve">per l’appunto </w:t>
      </w:r>
      <w:r>
        <w:t xml:space="preserve">di </w:t>
      </w:r>
      <w:r w:rsidR="00E3464B">
        <w:t xml:space="preserve">un fenomeno di </w:t>
      </w:r>
      <w:r>
        <w:t>polarizzazione d</w:t>
      </w:r>
      <w:r w:rsidR="00E06DA7">
        <w:t>e</w:t>
      </w:r>
      <w:r>
        <w:t xml:space="preserve">i giudizi </w:t>
      </w:r>
      <w:r w:rsidR="00E3464B">
        <w:t xml:space="preserve">e </w:t>
      </w:r>
      <w:r w:rsidR="00E06DA7">
        <w:t xml:space="preserve">non solo rispetto alle affermazioni sin qui considerate bensì anche </w:t>
      </w:r>
      <w:r w:rsidR="007B0C34">
        <w:t xml:space="preserve">per </w:t>
      </w:r>
      <w:r w:rsidR="00E06DA7">
        <w:t xml:space="preserve">quelle riferite alle due </w:t>
      </w:r>
      <w:r w:rsidR="007B0C34">
        <w:t xml:space="preserve">affermazioni </w:t>
      </w:r>
      <w:r>
        <w:t>successive.</w:t>
      </w:r>
    </w:p>
    <w:p w14:paraId="093F3E04" w14:textId="5FE86A92" w:rsidR="007C6E80" w:rsidRDefault="007C6E80" w:rsidP="00DD1B89">
      <w:r>
        <w:lastRenderedPageBreak/>
        <w:t>Il secondo gruppo di dati della tabella 3 concerne</w:t>
      </w:r>
      <w:r w:rsidR="00CF4B4B">
        <w:t xml:space="preserve"> invece</w:t>
      </w:r>
      <w:r>
        <w:t xml:space="preserve"> il tema del </w:t>
      </w:r>
      <w:r>
        <w:rPr>
          <w:i/>
          <w:iCs/>
        </w:rPr>
        <w:t>Green pass</w:t>
      </w:r>
      <w:r w:rsidR="00CF4B4B">
        <w:t>,</w:t>
      </w:r>
      <w:r>
        <w:rPr>
          <w:i/>
          <w:iCs/>
        </w:rPr>
        <w:t xml:space="preserve"> </w:t>
      </w:r>
      <w:r>
        <w:t xml:space="preserve">su cui il </w:t>
      </w:r>
      <w:r w:rsidR="00ED1D44">
        <w:t xml:space="preserve">livello di </w:t>
      </w:r>
      <w:r>
        <w:t xml:space="preserve">consenso </w:t>
      </w:r>
      <w:r w:rsidR="0099702B">
        <w:t xml:space="preserve">sia </w:t>
      </w:r>
      <w:r w:rsidR="00ED1D44">
        <w:t xml:space="preserve">da parte </w:t>
      </w:r>
      <w:r w:rsidR="0099702B">
        <w:t xml:space="preserve">della popolazione che </w:t>
      </w:r>
      <w:r w:rsidR="00ED1D44">
        <w:t xml:space="preserve">da parte </w:t>
      </w:r>
      <w:r w:rsidR="0099702B">
        <w:t>de</w:t>
      </w:r>
      <w:r w:rsidR="00CF4B4B">
        <w:t>gli ex</w:t>
      </w:r>
      <w:r w:rsidR="0099702B">
        <w:t xml:space="preserve"> pazienti Covid</w:t>
      </w:r>
      <w:r w:rsidR="00CF4B4B">
        <w:t>,</w:t>
      </w:r>
      <w:r w:rsidR="0099702B">
        <w:t xml:space="preserve"> tende a superare il 70%, salvo contrarsi di circa 10 punti </w:t>
      </w:r>
      <w:r w:rsidR="00CF4B4B">
        <w:t xml:space="preserve">per questi ultimi </w:t>
      </w:r>
      <w:r w:rsidR="0099702B">
        <w:t>(</w:t>
      </w:r>
      <w:r w:rsidR="00076FC6">
        <w:t xml:space="preserve">ma restando </w:t>
      </w:r>
      <w:r w:rsidR="0099702B">
        <w:t xml:space="preserve">comunque </w:t>
      </w:r>
      <w:r w:rsidR="00076FC6">
        <w:t xml:space="preserve">al di </w:t>
      </w:r>
      <w:r w:rsidR="0099702B">
        <w:t xml:space="preserve">sopra </w:t>
      </w:r>
      <w:r w:rsidR="00076FC6">
        <w:t>de</w:t>
      </w:r>
      <w:r w:rsidR="0099702B">
        <w:t>l 60%) per ciò che concerne i temi della responsabilità verso gli altri e l’</w:t>
      </w:r>
      <w:r w:rsidR="00880D3D">
        <w:t>introduzione dell’</w:t>
      </w:r>
      <w:r w:rsidR="0099702B">
        <w:t>obbligo vaccin</w:t>
      </w:r>
      <w:r w:rsidR="00880D3D">
        <w:t>ale</w:t>
      </w:r>
      <w:r w:rsidR="0099702B">
        <w:t xml:space="preserve"> per tutti i lavoratori:</w:t>
      </w:r>
      <w:r w:rsidR="004142CC">
        <w:t xml:space="preserve"> il che porta a consolidare nettamente la quota </w:t>
      </w:r>
      <w:r w:rsidR="00880D3D">
        <w:t>delle risposte</w:t>
      </w:r>
      <w:r w:rsidR="00076FC6">
        <w:t xml:space="preserve"> di</w:t>
      </w:r>
      <w:r w:rsidR="004142CC">
        <w:t xml:space="preserve"> disaccord</w:t>
      </w:r>
      <w:r w:rsidR="00076FC6">
        <w:t>o</w:t>
      </w:r>
      <w:r w:rsidR="00880D3D">
        <w:t>,</w:t>
      </w:r>
      <w:r w:rsidR="004142CC">
        <w:t xml:space="preserve"> che risulta compres</w:t>
      </w:r>
      <w:r w:rsidR="00880D3D">
        <w:t>a</w:t>
      </w:r>
      <w:r w:rsidR="004142CC">
        <w:t xml:space="preserve"> tra un minimo del 25,1% </w:t>
      </w:r>
      <w:r w:rsidR="00880D3D">
        <w:t xml:space="preserve">ed </w:t>
      </w:r>
      <w:r w:rsidR="004142CC">
        <w:t>un massimo del 39,6% rispetto a</w:t>
      </w:r>
      <w:r w:rsidR="00880D3D">
        <w:t xml:space="preserve"> quella de</w:t>
      </w:r>
      <w:r w:rsidR="004142CC">
        <w:t>l primo gruppo di dati</w:t>
      </w:r>
      <w:r w:rsidR="00076FC6">
        <w:t xml:space="preserve"> preso in considerazione</w:t>
      </w:r>
      <w:r w:rsidR="004142CC">
        <w:t>.</w:t>
      </w:r>
    </w:p>
    <w:p w14:paraId="4D1D2E93" w14:textId="4061A474" w:rsidR="004142CC" w:rsidRPr="007C6E80" w:rsidRDefault="00076FC6" w:rsidP="00DD1B89">
      <w:r>
        <w:t>Infine l</w:t>
      </w:r>
      <w:r w:rsidR="004142CC">
        <w:t>’</w:t>
      </w:r>
      <w:r w:rsidR="00880D3D">
        <w:t>analisi</w:t>
      </w:r>
      <w:r w:rsidR="004142CC">
        <w:t xml:space="preserve"> </w:t>
      </w:r>
      <w:r>
        <w:t xml:space="preserve">dei giudizi espressi rispetto all’ultimo </w:t>
      </w:r>
      <w:r w:rsidR="00806C2B">
        <w:t xml:space="preserve">insieme </w:t>
      </w:r>
      <w:r>
        <w:t xml:space="preserve">di affermazioni contenute </w:t>
      </w:r>
      <w:r w:rsidR="004142CC">
        <w:t xml:space="preserve">nella tabella 3, relative ad un possibile </w:t>
      </w:r>
      <w:r w:rsidR="00806C2B">
        <w:t>“</w:t>
      </w:r>
      <w:r w:rsidR="004142CC">
        <w:t>riequilibrio assistenziale</w:t>
      </w:r>
      <w:r w:rsidR="00806C2B">
        <w:t>”</w:t>
      </w:r>
      <w:r w:rsidR="004142CC">
        <w:t xml:space="preserve"> tra pazienti Covid e pazienti non-Covid</w:t>
      </w:r>
      <w:r w:rsidR="00F73AAE">
        <w:t xml:space="preserve"> e </w:t>
      </w:r>
      <w:r w:rsidR="00806C2B">
        <w:t xml:space="preserve">tra persone </w:t>
      </w:r>
      <w:r w:rsidR="00F73AAE">
        <w:t>vaccinat</w:t>
      </w:r>
      <w:r w:rsidR="00806C2B">
        <w:t>e</w:t>
      </w:r>
      <w:r w:rsidR="00F73AAE">
        <w:t xml:space="preserve"> e </w:t>
      </w:r>
      <w:r w:rsidR="00806C2B">
        <w:t xml:space="preserve">persone </w:t>
      </w:r>
      <w:r w:rsidR="00F73AAE">
        <w:t>non vaccinat</w:t>
      </w:r>
      <w:r w:rsidR="00806C2B">
        <w:t>e</w:t>
      </w:r>
      <w:r w:rsidR="004142CC">
        <w:t xml:space="preserve">, </w:t>
      </w:r>
      <w:r w:rsidR="00806C2B">
        <w:t xml:space="preserve">solleva </w:t>
      </w:r>
      <w:r w:rsidR="004142CC">
        <w:t>argoment</w:t>
      </w:r>
      <w:r w:rsidR="00F73AAE">
        <w:t>i</w:t>
      </w:r>
      <w:r w:rsidR="004142CC">
        <w:t xml:space="preserve"> </w:t>
      </w:r>
      <w:r w:rsidR="00806C2B">
        <w:t xml:space="preserve">e reazioni </w:t>
      </w:r>
      <w:r w:rsidR="004142CC">
        <w:t xml:space="preserve">che </w:t>
      </w:r>
      <w:r w:rsidR="00F73AAE">
        <w:t>sono</w:t>
      </w:r>
      <w:r w:rsidR="004142CC">
        <w:t xml:space="preserve"> diventat</w:t>
      </w:r>
      <w:r w:rsidR="00F73AAE">
        <w:t>i</w:t>
      </w:r>
      <w:r w:rsidR="004142CC">
        <w:t xml:space="preserve"> di </w:t>
      </w:r>
      <w:r w:rsidR="00806C2B">
        <w:t xml:space="preserve">ulteriore </w:t>
      </w:r>
      <w:r w:rsidR="004142CC">
        <w:t>attualità con il rafforzarsi della quarta ondata del virus</w:t>
      </w:r>
      <w:r w:rsidR="00CD0531">
        <w:t>. Il risultato è che:</w:t>
      </w:r>
    </w:p>
    <w:p w14:paraId="29699853" w14:textId="61CF2E7D" w:rsidR="0063726B" w:rsidRDefault="00CD0531" w:rsidP="005A06B0">
      <w:pPr>
        <w:pStyle w:val="Paragrafoelenco"/>
        <w:ind w:left="357" w:hanging="357"/>
      </w:pPr>
      <w:r>
        <w:t xml:space="preserve">si è </w:t>
      </w:r>
      <w:r w:rsidR="004142CC">
        <w:t>registra</w:t>
      </w:r>
      <w:r w:rsidR="00F73AAE">
        <w:t>t</w:t>
      </w:r>
      <w:r>
        <w:t>a</w:t>
      </w:r>
      <w:r w:rsidR="004142CC">
        <w:t xml:space="preserve"> una “sensibilità” importante su</w:t>
      </w:r>
      <w:r w:rsidR="00F73AAE">
        <w:t>i</w:t>
      </w:r>
      <w:r w:rsidR="004142CC">
        <w:t xml:space="preserve"> tem</w:t>
      </w:r>
      <w:r w:rsidR="00F73AAE">
        <w:t>i suddetti</w:t>
      </w:r>
      <w:r w:rsidR="004142CC">
        <w:t xml:space="preserve">, con livelli di consenso </w:t>
      </w:r>
      <w:r w:rsidR="00FB42C7">
        <w:t xml:space="preserve">prossimi al 70% e talvolta anche oltre sia per la popolazione </w:t>
      </w:r>
      <w:r w:rsidR="00F73AAE">
        <w:t xml:space="preserve">sia </w:t>
      </w:r>
      <w:r w:rsidR="00FB42C7">
        <w:t xml:space="preserve">per </w:t>
      </w:r>
      <w:r w:rsidR="00F73AAE">
        <w:t>gl</w:t>
      </w:r>
      <w:r w:rsidR="00FB42C7">
        <w:t>i</w:t>
      </w:r>
      <w:r w:rsidR="00F73AAE">
        <w:t xml:space="preserve"> ex</w:t>
      </w:r>
      <w:r w:rsidR="00FB42C7">
        <w:t xml:space="preserve"> pazienti Covid;</w:t>
      </w:r>
    </w:p>
    <w:p w14:paraId="2BE88E39" w14:textId="55867859" w:rsidR="00FB42C7" w:rsidRDefault="00F13912" w:rsidP="005A06B0">
      <w:pPr>
        <w:pStyle w:val="Paragrafoelenco"/>
        <w:ind w:left="357" w:hanging="357"/>
      </w:pPr>
      <w:r>
        <w:t xml:space="preserve">si è manifestato </w:t>
      </w:r>
      <w:r w:rsidR="00FB42C7">
        <w:t xml:space="preserve">un orientamento </w:t>
      </w:r>
      <w:r>
        <w:t xml:space="preserve">favorevole </w:t>
      </w:r>
      <w:r w:rsidR="00FB42C7">
        <w:t xml:space="preserve">più netto </w:t>
      </w:r>
      <w:r>
        <w:t xml:space="preserve">nelle opinioni </w:t>
      </w:r>
      <w:r w:rsidR="00F73AAE">
        <w:t>d</w:t>
      </w:r>
      <w:r w:rsidR="00FB42C7">
        <w:t xml:space="preserve">ella popolazione </w:t>
      </w:r>
      <w:r w:rsidR="00F73AAE">
        <w:t>su</w:t>
      </w:r>
      <w:r>
        <w:t>l tema di</w:t>
      </w:r>
      <w:r w:rsidR="00F73AAE">
        <w:t xml:space="preserve"> un possibile </w:t>
      </w:r>
      <w:r w:rsidR="00B5619B">
        <w:t>riequilibrio delle cure tra pazienti Covid e pazienti non-Covid come pure sull’obbligo vaccinale per tutti i cittadini</w:t>
      </w:r>
      <w:r w:rsidR="00F73AAE">
        <w:t xml:space="preserve"> da attuare</w:t>
      </w:r>
      <w:r w:rsidR="00B5619B">
        <w:t xml:space="preserve"> attraverso un’apposita legge; mentre </w:t>
      </w:r>
      <w:r w:rsidR="00F73AAE">
        <w:t xml:space="preserve">si </w:t>
      </w:r>
      <w:r w:rsidR="00086DCE">
        <w:t xml:space="preserve">è </w:t>
      </w:r>
      <w:r w:rsidR="00B5619B">
        <w:t>sposta</w:t>
      </w:r>
      <w:r w:rsidR="00086DCE">
        <w:t>to</w:t>
      </w:r>
      <w:r w:rsidR="00B5619B">
        <w:t xml:space="preserve"> lievemente il livello di consenso in favore dei pazienti Covid per quanto riguarda l’ipotesi di dare priorità, in caso di sovraccarico delle strutture ospedaliere, ai pazienti vaccinati rispetto a quelli non vaccinati</w:t>
      </w:r>
      <w:r w:rsidR="00F73AAE">
        <w:t xml:space="preserve"> e così avviene </w:t>
      </w:r>
      <w:r w:rsidR="00086DCE">
        <w:t xml:space="preserve">anche </w:t>
      </w:r>
      <w:r w:rsidR="00F73AAE">
        <w:t>per l’ipotesi</w:t>
      </w:r>
      <w:r w:rsidR="00B5619B">
        <w:t xml:space="preserve"> di un possibile ticket (significativo) da far pagare ai pazienti Covid non vaccinati per loro libera scelta </w:t>
      </w:r>
      <w:r w:rsidR="00F73AAE">
        <w:t>(e non per vincoli di salute);</w:t>
      </w:r>
    </w:p>
    <w:p w14:paraId="5C9378BE" w14:textId="3D203490" w:rsidR="00B5619B" w:rsidRDefault="007E1C56" w:rsidP="005A06B0">
      <w:pPr>
        <w:pStyle w:val="Paragrafoelenco"/>
        <w:ind w:left="357" w:hanging="357"/>
      </w:pPr>
      <w:r>
        <w:t xml:space="preserve">e </w:t>
      </w:r>
      <w:r w:rsidR="00066849">
        <w:t xml:space="preserve">si è </w:t>
      </w:r>
      <w:r w:rsidR="00B5619B">
        <w:t>consolida</w:t>
      </w:r>
      <w:r>
        <w:t>to</w:t>
      </w:r>
      <w:r w:rsidR="00B5619B">
        <w:t xml:space="preserve"> un fenomeno di polarizzazione dei giudizi attraverso un livello di disaccordo </w:t>
      </w:r>
      <w:r w:rsidR="00066849">
        <w:t xml:space="preserve">sempre </w:t>
      </w:r>
      <w:r w:rsidR="00B5619B">
        <w:t>consistente</w:t>
      </w:r>
      <w:r w:rsidR="00F73AAE">
        <w:t xml:space="preserve"> che</w:t>
      </w:r>
      <w:r w:rsidR="00B5619B">
        <w:t xml:space="preserve"> varia tra il 25,5% e il 37,0%</w:t>
      </w:r>
      <w:r w:rsidR="004A5553">
        <w:t>.</w:t>
      </w:r>
    </w:p>
    <w:p w14:paraId="5156C3F2" w14:textId="77777777" w:rsidR="001B7BCE" w:rsidRDefault="001B7BCE" w:rsidP="001B7BCE"/>
    <w:p w14:paraId="08A80085" w14:textId="32EE1223" w:rsidR="001B7BCE" w:rsidRDefault="002A3574" w:rsidP="001B7BCE">
      <w:r w:rsidRPr="002A3574">
        <w:rPr>
          <w:b/>
          <w:bCs/>
          <w:sz w:val="32"/>
        </w:rPr>
        <w:t>4.</w:t>
      </w:r>
      <w:r>
        <w:t xml:space="preserve"> </w:t>
      </w:r>
      <w:r w:rsidR="001B7BCE">
        <w:t xml:space="preserve">In conclusione, a valle dei dati e dei relativi commenti, vale la pena di accennare ad uno spunto di prospettiva che </w:t>
      </w:r>
      <w:r>
        <w:t xml:space="preserve">ruota </w:t>
      </w:r>
      <w:r w:rsidR="001B7BCE">
        <w:t>attorno a tre esigenze di fondo.</w:t>
      </w:r>
    </w:p>
    <w:p w14:paraId="3028AD7B" w14:textId="47095344" w:rsidR="001B7BCE" w:rsidRDefault="001B7BCE" w:rsidP="001B7BCE">
      <w:r>
        <w:t xml:space="preserve">La prima esigenza è quella di affrontare il rapporto tra pazienti Covid e pazienti non-Covid in maniera più attiva e consapevole, visto che non si può </w:t>
      </w:r>
      <w:r w:rsidR="00053E64">
        <w:t xml:space="preserve">ipotizzare </w:t>
      </w:r>
      <w:r w:rsidR="004A7F27">
        <w:t>un semplice</w:t>
      </w:r>
      <w:r w:rsidR="00053E64">
        <w:t>,</w:t>
      </w:r>
      <w:r w:rsidR="004A7F27">
        <w:t xml:space="preserve"> ulteriore rimando delle prestazioni ordinarie </w:t>
      </w:r>
      <w:r w:rsidR="00053E64">
        <w:t>rivolte a</w:t>
      </w:r>
      <w:r w:rsidR="004A7F27">
        <w:t>i secondi</w:t>
      </w:r>
      <w:r w:rsidR="00053E64">
        <w:t>,</w:t>
      </w:r>
      <w:r w:rsidR="004A7F27">
        <w:t xml:space="preserve"> salvo </w:t>
      </w:r>
      <w:r w:rsidR="00053E64">
        <w:t xml:space="preserve">ipotecare seriamente </w:t>
      </w:r>
      <w:r w:rsidR="004A7F27">
        <w:t xml:space="preserve">le </w:t>
      </w:r>
      <w:r w:rsidR="00053E64">
        <w:t xml:space="preserve">loro </w:t>
      </w:r>
      <w:r w:rsidR="004A7F27">
        <w:t>condizioni di salute</w:t>
      </w:r>
      <w:r w:rsidR="002B6BBB">
        <w:t xml:space="preserve"> speci</w:t>
      </w:r>
      <w:r w:rsidR="00053E64">
        <w:t>e</w:t>
      </w:r>
      <w:r w:rsidR="002B6BBB">
        <w:t xml:space="preserve"> se</w:t>
      </w:r>
      <w:r w:rsidR="004A7F27">
        <w:t xml:space="preserve"> affetti da malattie croniche e/o gravi che richiedono </w:t>
      </w:r>
      <w:r w:rsidR="004A7F27" w:rsidRPr="002B6BBB">
        <w:rPr>
          <w:i/>
          <w:iCs/>
        </w:rPr>
        <w:t>screening</w:t>
      </w:r>
      <w:r w:rsidR="004A7F27">
        <w:t xml:space="preserve">, assistenza </w:t>
      </w:r>
      <w:r w:rsidR="00053E64">
        <w:t xml:space="preserve">continuativa </w:t>
      </w:r>
      <w:r w:rsidR="004A7F27">
        <w:t>e</w:t>
      </w:r>
      <w:r w:rsidR="002B6BBB">
        <w:t>/o</w:t>
      </w:r>
      <w:r w:rsidR="004A7F27">
        <w:t xml:space="preserve"> interventi ospedalieri</w:t>
      </w:r>
      <w:r w:rsidR="00A04AFF">
        <w:t xml:space="preserve"> urgenti</w:t>
      </w:r>
      <w:r w:rsidR="004A7F27">
        <w:t>.</w:t>
      </w:r>
    </w:p>
    <w:p w14:paraId="7DC57FDB" w14:textId="29D655B8" w:rsidR="00A04AFF" w:rsidRDefault="00A04AFF" w:rsidP="00A04AFF">
      <w:r>
        <w:t xml:space="preserve">La </w:t>
      </w:r>
      <w:r w:rsidR="005D60AB">
        <w:t xml:space="preserve">seconda </w:t>
      </w:r>
      <w:r w:rsidR="004A7F27">
        <w:t>esigenza (conseguente)</w:t>
      </w:r>
      <w:r>
        <w:t xml:space="preserve"> è</w:t>
      </w:r>
      <w:r w:rsidR="005D60AB">
        <w:t xml:space="preserve"> quella</w:t>
      </w:r>
      <w:r w:rsidR="004A7F27">
        <w:t xml:space="preserve"> di giocare sempre meglio “a sistema” tra istituti ospedalieri di diritto pubblico e istituti ospedalieri di diritto privato (strutture accreditate)</w:t>
      </w:r>
      <w:r w:rsidR="005D60AB">
        <w:t>,</w:t>
      </w:r>
      <w:r w:rsidR="004A7F27">
        <w:t xml:space="preserve"> al fine di recuperare il pregresso </w:t>
      </w:r>
      <w:r w:rsidR="0076448E">
        <w:t xml:space="preserve">cioè </w:t>
      </w:r>
      <w:r w:rsidR="004A7F27">
        <w:t>le prestazioni mancate e –</w:t>
      </w:r>
      <w:r w:rsidR="0076448E">
        <w:t xml:space="preserve"> nel caso </w:t>
      </w:r>
      <w:r w:rsidR="004A7F27">
        <w:t>servisse –</w:t>
      </w:r>
      <w:r w:rsidR="0076448E">
        <w:t xml:space="preserve"> </w:t>
      </w:r>
      <w:r w:rsidR="004A7F27">
        <w:t>di ripetere l’esperienza collaborativa tra le due tipologie</w:t>
      </w:r>
      <w:r w:rsidR="0076448E">
        <w:t xml:space="preserve"> di istituti</w:t>
      </w:r>
      <w:r w:rsidR="004A7F27">
        <w:t xml:space="preserve"> come è avvenuto nel corso dell’anno 2020: anche perché il rischio della quarta “</w:t>
      </w:r>
      <w:r w:rsidR="004A7F27" w:rsidRPr="00A04AFF">
        <w:t>ondata</w:t>
      </w:r>
      <w:r w:rsidR="004A7F27">
        <w:t>” del virus che appare essere meno letale ma estremamente contagios</w:t>
      </w:r>
      <w:r>
        <w:t>o</w:t>
      </w:r>
      <w:r w:rsidR="004A7F27">
        <w:t xml:space="preserve"> </w:t>
      </w:r>
      <w:r w:rsidR="0076448E">
        <w:t xml:space="preserve">potrebbe </w:t>
      </w:r>
      <w:r w:rsidR="004A7F27">
        <w:t xml:space="preserve">portare in ospedale </w:t>
      </w:r>
      <w:r>
        <w:t xml:space="preserve">comunque un numero significativo di pazienti Covid </w:t>
      </w:r>
      <w:r w:rsidR="004A7F27">
        <w:t>non vaccinati a cui si aggiungere</w:t>
      </w:r>
      <w:r w:rsidR="0076448E">
        <w:t>bbe</w:t>
      </w:r>
      <w:r w:rsidR="004A7F27">
        <w:t xml:space="preserve"> </w:t>
      </w:r>
      <w:r w:rsidR="0076448E">
        <w:t xml:space="preserve">la quota </w:t>
      </w:r>
      <w:r w:rsidR="004A7F27">
        <w:t xml:space="preserve">di vaccinati </w:t>
      </w:r>
      <w:r>
        <w:t xml:space="preserve">ma </w:t>
      </w:r>
      <w:r w:rsidR="004A7F27">
        <w:t>non più sufficientemente coperti</w:t>
      </w:r>
      <w:r w:rsidR="0076448E">
        <w:t xml:space="preserve"> </w:t>
      </w:r>
      <w:r>
        <w:t xml:space="preserve">dalle dose </w:t>
      </w:r>
      <w:r w:rsidR="0076448E">
        <w:t>ricevut</w:t>
      </w:r>
      <w:r>
        <w:t>e</w:t>
      </w:r>
      <w:r w:rsidR="004A7F27">
        <w:t>.</w:t>
      </w:r>
      <w:r>
        <w:t xml:space="preserve"> Mentre continuerebbe a restare inevasa una quota troppo consistente della domanda di presta</w:t>
      </w:r>
      <w:r>
        <w:softHyphen/>
        <w:t>zione da parte dei pazienti non-Covid.</w:t>
      </w:r>
    </w:p>
    <w:p w14:paraId="0CC8BAFA" w14:textId="101FBA80" w:rsidR="004A7F27" w:rsidRDefault="004A7F27" w:rsidP="00A04AFF">
      <w:r>
        <w:lastRenderedPageBreak/>
        <w:t>C’è infine una</w:t>
      </w:r>
      <w:r w:rsidR="0003175D">
        <w:t xml:space="preserve"> terza esigenza, </w:t>
      </w:r>
      <w:r>
        <w:t xml:space="preserve">quella di innescare un processo di </w:t>
      </w:r>
      <w:r w:rsidRPr="0003175D">
        <w:t>effettivo</w:t>
      </w:r>
      <w:r>
        <w:t xml:space="preserve"> ri-finanziamento del Servizio Sanitario Nazionale </w:t>
      </w:r>
      <w:r w:rsidR="006F62D7">
        <w:t xml:space="preserve">che risente </w:t>
      </w:r>
      <w:r>
        <w:t xml:space="preserve">ancora </w:t>
      </w:r>
      <w:r w:rsidR="00EC20B1">
        <w:t xml:space="preserve">oggi </w:t>
      </w:r>
      <w:r>
        <w:t xml:space="preserve">in maniera pesante degli effetti </w:t>
      </w:r>
      <w:r w:rsidR="00936D5D">
        <w:t xml:space="preserve">della </w:t>
      </w:r>
      <w:r w:rsidR="00936D5D">
        <w:rPr>
          <w:i/>
          <w:iCs/>
        </w:rPr>
        <w:t xml:space="preserve">spending review </w:t>
      </w:r>
      <w:r w:rsidR="003F12F1">
        <w:t xml:space="preserve">di dieci anni fa, i quali </w:t>
      </w:r>
      <w:r w:rsidR="00936D5D">
        <w:t xml:space="preserve">hanno </w:t>
      </w:r>
      <w:r w:rsidR="00EC20B1">
        <w:t>contribuito a far prevalere</w:t>
      </w:r>
      <w:r w:rsidR="003F12F1">
        <w:t xml:space="preserve"> –</w:t>
      </w:r>
      <w:r w:rsidR="00EC20B1">
        <w:t xml:space="preserve"> come </w:t>
      </w:r>
      <w:r w:rsidR="00936D5D">
        <w:t xml:space="preserve">è stata </w:t>
      </w:r>
      <w:r w:rsidR="00EC20B1">
        <w:t xml:space="preserve">a suo tempo </w:t>
      </w:r>
      <w:r w:rsidR="00936D5D">
        <w:t xml:space="preserve">definita dal Rapporto </w:t>
      </w:r>
      <w:r w:rsidR="00936D5D">
        <w:rPr>
          <w:i/>
          <w:iCs/>
        </w:rPr>
        <w:t>Ospedali &amp; Salute</w:t>
      </w:r>
      <w:r w:rsidR="003F12F1">
        <w:t xml:space="preserve"> –</w:t>
      </w:r>
      <w:r w:rsidR="00EC20B1">
        <w:t xml:space="preserve"> la </w:t>
      </w:r>
      <w:r w:rsidR="00936D5D">
        <w:t xml:space="preserve">“Sanità Finanziaria” </w:t>
      </w:r>
      <w:r w:rsidR="003F12F1">
        <w:t xml:space="preserve">(cioè quella del taglio dei costi ma senza una corrispondente riorganizzazione dei servizi) </w:t>
      </w:r>
      <w:r w:rsidR="00936D5D">
        <w:t>a scapito della “Sanità Reale”</w:t>
      </w:r>
      <w:r w:rsidR="003F12F1">
        <w:t xml:space="preserve"> (quella</w:t>
      </w:r>
      <w:r w:rsidR="00353FB7">
        <w:t xml:space="preserve"> costituita da pazienti</w:t>
      </w:r>
      <w:r w:rsidR="003F12F1">
        <w:t>,</w:t>
      </w:r>
      <w:r w:rsidR="00353FB7">
        <w:t xml:space="preserve"> famiglie</w:t>
      </w:r>
      <w:r w:rsidR="00121F57">
        <w:t xml:space="preserve"> e</w:t>
      </w:r>
      <w:r w:rsidR="00353FB7">
        <w:t xml:space="preserve"> operatori</w:t>
      </w:r>
      <w:r w:rsidR="003F12F1">
        <w:t xml:space="preserve">). Servirebbe perciò un ri-finanziamento di tipo funzionale che riporti il rapporto tra spesa sanitaria e PIL verso un’incidenza più prossima rispetto a quella dei Paesi dell’OCSE e del G7. E questo a prescindere dagli eventuali investimenti straordinari derivanti dal PNRR, anche perché questi ultimi corrono il rischio di generare una “sottrazione” </w:t>
      </w:r>
      <w:r w:rsidR="00353FB7">
        <w:t xml:space="preserve">di risorse </w:t>
      </w:r>
      <w:r w:rsidR="003F12F1">
        <w:t xml:space="preserve">qualora si tenga conto </w:t>
      </w:r>
      <w:r w:rsidR="00D85280">
        <w:t xml:space="preserve">che </w:t>
      </w:r>
      <w:r w:rsidR="00353FB7">
        <w:t xml:space="preserve">l’istituzione </w:t>
      </w:r>
      <w:r w:rsidR="00D85280">
        <w:t>della</w:t>
      </w:r>
      <w:r w:rsidR="00353FB7">
        <w:t xml:space="preserve"> l</w:t>
      </w:r>
      <w:r w:rsidR="00121F57">
        <w:t>un</w:t>
      </w:r>
      <w:r w:rsidR="00353FB7">
        <w:t xml:space="preserve">ga </w:t>
      </w:r>
      <w:r w:rsidR="00121F57">
        <w:t xml:space="preserve">serie </w:t>
      </w:r>
      <w:r w:rsidR="00D85280">
        <w:t>di</w:t>
      </w:r>
      <w:r w:rsidR="00353FB7">
        <w:t xml:space="preserve"> nuove strutture </w:t>
      </w:r>
      <w:r w:rsidR="003F12F1">
        <w:t xml:space="preserve">previste </w:t>
      </w:r>
      <w:r w:rsidR="00353FB7">
        <w:t>implica</w:t>
      </w:r>
      <w:r w:rsidR="003F12F1">
        <w:t>, a sua volta,</w:t>
      </w:r>
      <w:r w:rsidR="00353FB7">
        <w:t xml:space="preserve"> un </w:t>
      </w:r>
      <w:r w:rsidR="003F12F1">
        <w:t>più che significativo ampli</w:t>
      </w:r>
      <w:r w:rsidR="00353FB7">
        <w:t>amento d</w:t>
      </w:r>
      <w:r w:rsidR="003F12F1">
        <w:t xml:space="preserve">el </w:t>
      </w:r>
      <w:r w:rsidR="00353FB7">
        <w:t xml:space="preserve">personale </w:t>
      </w:r>
      <w:r w:rsidR="003F12F1">
        <w:t xml:space="preserve">insieme ad un aumento considerevole dei </w:t>
      </w:r>
      <w:r w:rsidR="00353FB7">
        <w:t xml:space="preserve">costi di gestione </w:t>
      </w:r>
      <w:r w:rsidR="007E1C56">
        <w:t>riferiti a</w:t>
      </w:r>
      <w:r w:rsidR="00353FB7">
        <w:t xml:space="preserve">lle </w:t>
      </w:r>
      <w:r w:rsidR="003F12F1">
        <w:t>suddette strutture.</w:t>
      </w:r>
    </w:p>
    <w:p w14:paraId="027719D4" w14:textId="46E230FE" w:rsidR="00353FB7" w:rsidRDefault="003F12F1" w:rsidP="00294660">
      <w:pPr>
        <w:spacing w:before="0"/>
      </w:pPr>
      <w:r>
        <w:t>Resta inoltre apert</w:t>
      </w:r>
      <w:r w:rsidR="000D48E4">
        <w:t>o il tema di fondo di una riorganizzazione maggiormente efficiente dei servizi dedicati alla salute, siano essi di tipo ordinario o di tipo straordinario in quanto derivant</w:t>
      </w:r>
      <w:r w:rsidR="00E33A06">
        <w:t>e</w:t>
      </w:r>
      <w:r w:rsidR="000D48E4">
        <w:t xml:space="preserve"> da</w:t>
      </w:r>
      <w:r w:rsidR="00E33A06">
        <w:t>gli investimenti del</w:t>
      </w:r>
      <w:r w:rsidR="000D48E4">
        <w:t xml:space="preserve"> PNRR. E proprio in tal senso sarebbe il caso di aprire con decisione ad un più largo apporto di tipo privato </w:t>
      </w:r>
      <w:r w:rsidR="001B7C19">
        <w:t>per quanto riguarda molti aspetti organizzativi, tecnici e gestionali del</w:t>
      </w:r>
      <w:r w:rsidR="00294660">
        <w:t xml:space="preserve">l’ambito </w:t>
      </w:r>
      <w:r w:rsidR="001B7C19">
        <w:t>sanitario</w:t>
      </w:r>
      <w:r w:rsidR="00294660">
        <w:t>. Tanto per esemplificare</w:t>
      </w:r>
      <w:r w:rsidR="008C7025">
        <w:t>,</w:t>
      </w:r>
      <w:r w:rsidR="00294660">
        <w:t xml:space="preserve"> allestire </w:t>
      </w:r>
      <w:r w:rsidR="001B7C19">
        <w:t xml:space="preserve">un processo di vaccinazione rapido, efficace e di qualità </w:t>
      </w:r>
      <w:r w:rsidR="00294660">
        <w:t>richiede un’</w:t>
      </w:r>
      <w:r w:rsidR="00B3424F">
        <w:t xml:space="preserve">esperienza logistica </w:t>
      </w:r>
      <w:r w:rsidR="008C7025">
        <w:t xml:space="preserve">di tipo </w:t>
      </w:r>
      <w:r w:rsidR="00294660">
        <w:t>privat</w:t>
      </w:r>
      <w:r w:rsidR="008C7025">
        <w:t>o</w:t>
      </w:r>
      <w:r w:rsidR="00294660">
        <w:t xml:space="preserve"> </w:t>
      </w:r>
      <w:r w:rsidR="004827BC">
        <w:t xml:space="preserve">da applicare </w:t>
      </w:r>
      <w:r w:rsidR="00B3424F">
        <w:t>nel</w:t>
      </w:r>
      <w:r w:rsidR="004827BC">
        <w:t>l’ambito</w:t>
      </w:r>
      <w:r w:rsidR="00B3424F">
        <w:t xml:space="preserve"> della salute</w:t>
      </w:r>
      <w:r w:rsidR="004827BC">
        <w:t>. O ancora</w:t>
      </w:r>
      <w:r w:rsidR="00B3424F">
        <w:t xml:space="preserve"> una modernizzazione di tipo informatico ha bisogno di soggetti con </w:t>
      </w:r>
      <w:r w:rsidR="00294660">
        <w:t xml:space="preserve">una </w:t>
      </w:r>
      <w:r w:rsidR="00B3424F">
        <w:t>larga esperienza nel campo privato che possano predisporre delle infrastrutture in grado di far compiere un salto organizzativo al Servizio Sanitario Nazionale</w:t>
      </w:r>
      <w:r w:rsidR="00E835B5">
        <w:t xml:space="preserve"> anche sotto questo profilo</w:t>
      </w:r>
      <w:r w:rsidR="004827BC">
        <w:t>. E</w:t>
      </w:r>
      <w:r w:rsidR="00B3424F">
        <w:t xml:space="preserve">, tanto per </w:t>
      </w:r>
      <w:r w:rsidR="004827BC">
        <w:t>cit</w:t>
      </w:r>
      <w:r w:rsidR="00B3424F">
        <w:t xml:space="preserve">are un </w:t>
      </w:r>
      <w:r w:rsidR="004827BC">
        <w:t xml:space="preserve">ulteriore </w:t>
      </w:r>
      <w:r w:rsidR="00B3424F">
        <w:t xml:space="preserve">esempio, la stessa manutenzione, ordinaria e straordinaria, di manufatti e soprattutto di attrezzature richiede una gestione efficace di stampo privato da parte di aziende che </w:t>
      </w:r>
      <w:r w:rsidR="00294660">
        <w:t xml:space="preserve">presentino </w:t>
      </w:r>
      <w:r w:rsidR="00B3424F">
        <w:t xml:space="preserve">un curriculum significativo </w:t>
      </w:r>
      <w:r w:rsidR="00294660">
        <w:t xml:space="preserve">proprio </w:t>
      </w:r>
      <w:r w:rsidR="00B3424F">
        <w:t>in quest’ambito.</w:t>
      </w:r>
    </w:p>
    <w:p w14:paraId="49F7F984" w14:textId="34E11A5F" w:rsidR="00B3424F" w:rsidRPr="00936D5D" w:rsidRDefault="00B3424F" w:rsidP="001B7BCE">
      <w:r>
        <w:t xml:space="preserve">Insomma, nel ripensamento del Servizio Sanitario Nazionale va ritrovato un migliore e più efficace equilibrio tra le funzioni </w:t>
      </w:r>
      <w:r w:rsidR="00792F1C">
        <w:t>di tutela pubblica della salute (espletata da istituti di diritto pubblico e da istituti di diritto privato-accreditato) e funzioni che più opportuna</w:t>
      </w:r>
      <w:r w:rsidR="00792F1C">
        <w:softHyphen/>
        <w:t xml:space="preserve">mente possono far capo ad aziende specializzate private (o privato-pubbliche), </w:t>
      </w:r>
      <w:r>
        <w:t>al fine di migliorare l’efficienza e l’efficacia delle risposte ai pazienti e ai cittadini</w:t>
      </w:r>
      <w:r w:rsidR="00E835B5">
        <w:t>:</w:t>
      </w:r>
      <w:r>
        <w:t xml:space="preserve"> </w:t>
      </w:r>
      <w:r w:rsidR="00E835B5">
        <w:t>applicando</w:t>
      </w:r>
      <w:r>
        <w:t xml:space="preserve"> così al ben noto principio “lo Stato quando si deve, il mercato quando si può”, ma con un intento </w:t>
      </w:r>
      <w:r w:rsidR="00792F1C">
        <w:t xml:space="preserve">fortemente </w:t>
      </w:r>
      <w:r>
        <w:t xml:space="preserve">collaborativo </w:t>
      </w:r>
      <w:r w:rsidR="00792F1C">
        <w:t xml:space="preserve">in funzione di </w:t>
      </w:r>
      <w:r>
        <w:t>spost</w:t>
      </w:r>
      <w:r w:rsidR="00792F1C">
        <w:t>are</w:t>
      </w:r>
      <w:r>
        <w:t xml:space="preserve"> verso l’alto l’asticella delle prestazioni complessive del sistema</w:t>
      </w:r>
      <w:r w:rsidR="00E835B5">
        <w:t xml:space="preserve"> sanitario</w:t>
      </w:r>
      <w:r>
        <w:t>.</w:t>
      </w:r>
    </w:p>
    <w:p w14:paraId="5025B327" w14:textId="77777777" w:rsidR="001B7BCE" w:rsidRDefault="001B7BCE" w:rsidP="001B7BCE"/>
    <w:p w14:paraId="0FDF2B6F" w14:textId="77777777" w:rsidR="00BA33BB" w:rsidRDefault="00BA33BB" w:rsidP="00080B2F"/>
    <w:p w14:paraId="1BC5D4B6" w14:textId="77777777" w:rsidR="005F32CD" w:rsidRDefault="005F32CD" w:rsidP="001E3B41">
      <w:pPr>
        <w:sectPr w:rsidR="005F32CD" w:rsidSect="0020037D">
          <w:footerReference w:type="default" r:id="rId7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00C79CA5" w14:textId="6B37EA92" w:rsidR="00D06B4D" w:rsidRPr="00241B57" w:rsidRDefault="00D06B4D" w:rsidP="00D06B4D">
      <w:pPr>
        <w:widowControl w:val="0"/>
        <w:spacing w:before="0" w:after="0"/>
        <w:rPr>
          <w:sz w:val="18"/>
        </w:rPr>
      </w:pPr>
      <w:r w:rsidRPr="00241B57">
        <w:rPr>
          <w:i/>
          <w:iCs/>
          <w:sz w:val="18"/>
        </w:rPr>
        <w:lastRenderedPageBreak/>
        <w:t>Ta</w:t>
      </w:r>
      <w:r w:rsidR="00FD6A82" w:rsidRPr="00241B57">
        <w:rPr>
          <w:i/>
          <w:iCs/>
          <w:sz w:val="18"/>
        </w:rPr>
        <w:t>b</w:t>
      </w:r>
      <w:r w:rsidRPr="00241B57">
        <w:rPr>
          <w:i/>
          <w:iCs/>
          <w:sz w:val="18"/>
        </w:rPr>
        <w:t xml:space="preserve">. </w:t>
      </w:r>
      <w:r w:rsidR="00FD6A82" w:rsidRPr="00241B57">
        <w:rPr>
          <w:i/>
          <w:iCs/>
          <w:sz w:val="18"/>
        </w:rPr>
        <w:t>1</w:t>
      </w:r>
      <w:r w:rsidRPr="00241B57">
        <w:rPr>
          <w:i/>
          <w:iCs/>
          <w:sz w:val="18"/>
        </w:rPr>
        <w:t xml:space="preserve"> – Due fattori di tensione: una “medietà”* inadeguata delle prestazioni nella fase precedente la pandemia e un significativo blocco/rimando delle medesime per i pazienti non-Covid durante la pandemia (val. %)</w:t>
      </w:r>
      <w:r w:rsidR="00FD6A82" w:rsidRPr="00241B57">
        <w:rPr>
          <w:i/>
          <w:iCs/>
          <w:sz w:val="18"/>
        </w:rPr>
        <w:t xml:space="preserve"> </w:t>
      </w:r>
      <w:r w:rsidR="00FD6A82" w:rsidRPr="00241B57">
        <w:rPr>
          <w:sz w:val="18"/>
        </w:rPr>
        <w:t>(°)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89"/>
        <w:gridCol w:w="1778"/>
        <w:gridCol w:w="575"/>
        <w:gridCol w:w="1203"/>
        <w:gridCol w:w="1137"/>
        <w:gridCol w:w="13"/>
        <w:gridCol w:w="631"/>
        <w:gridCol w:w="1756"/>
        <w:gridCol w:w="22"/>
      </w:tblGrid>
      <w:tr w:rsidR="00D06B4D" w:rsidRPr="00241B57" w14:paraId="27B06290" w14:textId="77777777" w:rsidTr="00B84E5C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104BE" w14:textId="77777777" w:rsidR="00D06B4D" w:rsidRPr="00241B57" w:rsidRDefault="00D06B4D" w:rsidP="00D06B4D">
            <w:pPr>
              <w:widowControl w:val="0"/>
              <w:spacing w:before="0" w:after="0"/>
              <w:rPr>
                <w:sz w:val="18"/>
              </w:rPr>
            </w:pPr>
            <w:r w:rsidRPr="00241B57">
              <w:rPr>
                <w:i/>
                <w:iCs/>
                <w:sz w:val="18"/>
              </w:rPr>
              <w:t>Fenomeni</w:t>
            </w:r>
          </w:p>
        </w:tc>
        <w:tc>
          <w:tcPr>
            <w:tcW w:w="226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AF933C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Cs/>
                <w:i/>
                <w:iCs/>
                <w:kern w:val="2"/>
                <w:sz w:val="18"/>
                <w:szCs w:val="20"/>
              </w:rPr>
            </w:pPr>
            <w:r w:rsidRPr="00241B57">
              <w:rPr>
                <w:bCs/>
                <w:i/>
                <w:iCs/>
                <w:kern w:val="2"/>
                <w:sz w:val="18"/>
                <w:szCs w:val="20"/>
              </w:rPr>
              <w:t xml:space="preserve">Dati </w:t>
            </w:r>
          </w:p>
        </w:tc>
      </w:tr>
      <w:tr w:rsidR="00D06B4D" w:rsidRPr="00241B57" w14:paraId="3865D6AB" w14:textId="77777777" w:rsidTr="00B84E5C">
        <w:tc>
          <w:tcPr>
            <w:tcW w:w="2735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4C1E8E8" w14:textId="77777777" w:rsidR="00D06B4D" w:rsidRPr="00241B57" w:rsidRDefault="00D06B4D" w:rsidP="00D06B4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>PRIMO FENOMENO: LA PRESENZA DI UNA “MEDIETÀ” INSODDISFACENTE DI SISTEMA GIÀ IN FASE PRE-PANDEMICA</w:t>
            </w: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E10E7C6" w14:textId="77777777" w:rsidR="00D06B4D" w:rsidRPr="00241B57" w:rsidRDefault="00D06B4D" w:rsidP="00D06B4D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241B57">
              <w:rPr>
                <w:i/>
                <w:iCs/>
                <w:sz w:val="18"/>
              </w:rPr>
              <w:t>2015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9984217" w14:textId="77777777" w:rsidR="00D06B4D" w:rsidRPr="00241B57" w:rsidRDefault="00D06B4D" w:rsidP="00D06B4D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241B57">
              <w:rPr>
                <w:i/>
                <w:iCs/>
                <w:sz w:val="18"/>
              </w:rPr>
              <w:t>2017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12C37CF" w14:textId="77777777" w:rsidR="00D06B4D" w:rsidRPr="00241B57" w:rsidRDefault="00D06B4D" w:rsidP="00D06B4D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241B57">
              <w:rPr>
                <w:i/>
                <w:iCs/>
                <w:sz w:val="18"/>
              </w:rPr>
              <w:t>2019</w:t>
            </w:r>
          </w:p>
        </w:tc>
      </w:tr>
      <w:tr w:rsidR="00D06B4D" w:rsidRPr="00241B57" w14:paraId="0B79AC46" w14:textId="77777777" w:rsidTr="00B84E5C">
        <w:tc>
          <w:tcPr>
            <w:tcW w:w="2735" w:type="pct"/>
            <w:shd w:val="clear" w:color="auto" w:fill="FFFFFF" w:themeFill="background1"/>
            <w:vAlign w:val="bottom"/>
          </w:tcPr>
          <w:p w14:paraId="35E92920" w14:textId="3236B8DE" w:rsidR="00D06B4D" w:rsidRPr="00241B57" w:rsidRDefault="00D06B4D" w:rsidP="00D06B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284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>L’aumento oggettivo dell’incidenza percentuale dei casi di Alta Complessità sul totale delle prestazioni per pazienti acuti, ma con uno svantaggio per il Mezzo</w:t>
            </w:r>
            <w:r w:rsidRPr="00241B57">
              <w:rPr>
                <w:sz w:val="18"/>
                <w:szCs w:val="20"/>
              </w:rPr>
              <w:softHyphen/>
              <w:t>giorno:</w:t>
            </w:r>
          </w:p>
        </w:tc>
        <w:tc>
          <w:tcPr>
            <w:tcW w:w="566" w:type="pct"/>
            <w:shd w:val="clear" w:color="auto" w:fill="FFFFFF" w:themeFill="background1"/>
            <w:vAlign w:val="bottom"/>
          </w:tcPr>
          <w:p w14:paraId="4CDB83A5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566" w:type="pct"/>
            <w:gridSpan w:val="2"/>
            <w:shd w:val="clear" w:color="auto" w:fill="FFFFFF" w:themeFill="background1"/>
            <w:vAlign w:val="bottom"/>
          </w:tcPr>
          <w:p w14:paraId="1C5634AC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567" w:type="pct"/>
            <w:gridSpan w:val="3"/>
            <w:shd w:val="clear" w:color="auto" w:fill="FFFFFF" w:themeFill="background1"/>
          </w:tcPr>
          <w:p w14:paraId="322F7B42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i/>
                <w:iCs/>
                <w:sz w:val="18"/>
              </w:rPr>
              <w:t>Totale</w:t>
            </w:r>
          </w:p>
        </w:tc>
        <w:tc>
          <w:tcPr>
            <w:tcW w:w="566" w:type="pct"/>
            <w:gridSpan w:val="2"/>
            <w:shd w:val="clear" w:color="auto" w:fill="FFFFFF" w:themeFill="background1"/>
          </w:tcPr>
          <w:p w14:paraId="62986579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b/>
                <w:bCs/>
                <w:i/>
                <w:iCs/>
                <w:sz w:val="18"/>
              </w:rPr>
              <w:t>Mezzogiorno</w:t>
            </w:r>
          </w:p>
        </w:tc>
      </w:tr>
      <w:tr w:rsidR="00D06B4D" w:rsidRPr="00241B57" w14:paraId="1F856717" w14:textId="77777777" w:rsidTr="00B84E5C">
        <w:tc>
          <w:tcPr>
            <w:tcW w:w="2735" w:type="pct"/>
            <w:shd w:val="clear" w:color="auto" w:fill="FFFFFF" w:themeFill="background1"/>
            <w:vAlign w:val="bottom"/>
          </w:tcPr>
          <w:p w14:paraId="55D2C0AF" w14:textId="53766545" w:rsidR="00D06B4D" w:rsidRPr="00CD4DE7" w:rsidRDefault="00D06B4D" w:rsidP="00D06B4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568" w:hanging="284"/>
              <w:contextualSpacing/>
              <w:rPr>
                <w:sz w:val="18"/>
                <w:szCs w:val="20"/>
              </w:rPr>
            </w:pPr>
            <w:r w:rsidRPr="00CD4DE7">
              <w:rPr>
                <w:sz w:val="18"/>
                <w:szCs w:val="20"/>
              </w:rPr>
              <w:t>Ospedali di diritto pubblico</w:t>
            </w:r>
          </w:p>
        </w:tc>
        <w:tc>
          <w:tcPr>
            <w:tcW w:w="566" w:type="pct"/>
            <w:shd w:val="clear" w:color="auto" w:fill="FFFFFF" w:themeFill="background1"/>
            <w:vAlign w:val="bottom"/>
          </w:tcPr>
          <w:p w14:paraId="1136EFD0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i/>
                <w:iCs/>
                <w:sz w:val="18"/>
              </w:rPr>
              <w:t>14,4</w:t>
            </w:r>
          </w:p>
        </w:tc>
        <w:tc>
          <w:tcPr>
            <w:tcW w:w="566" w:type="pct"/>
            <w:gridSpan w:val="2"/>
            <w:shd w:val="clear" w:color="auto" w:fill="FFFFFF" w:themeFill="background1"/>
            <w:vAlign w:val="bottom"/>
          </w:tcPr>
          <w:p w14:paraId="039ACA2B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i/>
                <w:iCs/>
                <w:sz w:val="18"/>
              </w:rPr>
              <w:t>14,9</w:t>
            </w:r>
          </w:p>
        </w:tc>
        <w:tc>
          <w:tcPr>
            <w:tcW w:w="567" w:type="pct"/>
            <w:gridSpan w:val="3"/>
            <w:shd w:val="clear" w:color="auto" w:fill="FFFFFF" w:themeFill="background1"/>
            <w:vAlign w:val="bottom"/>
          </w:tcPr>
          <w:p w14:paraId="644A91A9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i/>
                <w:iCs/>
                <w:sz w:val="18"/>
              </w:rPr>
              <w:t>16,1</w:t>
            </w:r>
          </w:p>
        </w:tc>
        <w:tc>
          <w:tcPr>
            <w:tcW w:w="566" w:type="pct"/>
            <w:gridSpan w:val="2"/>
            <w:shd w:val="clear" w:color="auto" w:fill="FFFFFF" w:themeFill="background1"/>
            <w:vAlign w:val="bottom"/>
          </w:tcPr>
          <w:p w14:paraId="1BC2E985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/>
                <w:bCs/>
                <w:i/>
                <w:iCs/>
                <w:sz w:val="18"/>
              </w:rPr>
            </w:pPr>
            <w:r w:rsidRPr="00241B57">
              <w:rPr>
                <w:b/>
                <w:bCs/>
                <w:i/>
                <w:iCs/>
                <w:sz w:val="18"/>
              </w:rPr>
              <w:t>14,8</w:t>
            </w:r>
          </w:p>
        </w:tc>
      </w:tr>
      <w:tr w:rsidR="00D06B4D" w:rsidRPr="00241B57" w14:paraId="3B0BAE7A" w14:textId="77777777" w:rsidTr="00B84E5C">
        <w:tc>
          <w:tcPr>
            <w:tcW w:w="2735" w:type="pct"/>
            <w:shd w:val="clear" w:color="auto" w:fill="FFFFFF" w:themeFill="background1"/>
            <w:vAlign w:val="bottom"/>
          </w:tcPr>
          <w:p w14:paraId="5BD093AD" w14:textId="771ACCC6" w:rsidR="00D06B4D" w:rsidRPr="00CD4DE7" w:rsidRDefault="00D06B4D" w:rsidP="00D06B4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568" w:hanging="284"/>
              <w:contextualSpacing/>
              <w:rPr>
                <w:sz w:val="18"/>
                <w:szCs w:val="20"/>
              </w:rPr>
            </w:pPr>
            <w:r w:rsidRPr="00CD4DE7">
              <w:rPr>
                <w:sz w:val="18"/>
                <w:szCs w:val="20"/>
              </w:rPr>
              <w:t>Ospedali di diritto privato</w:t>
            </w:r>
            <w:r w:rsidR="00241B57" w:rsidRPr="00CD4DE7">
              <w:rPr>
                <w:sz w:val="18"/>
                <w:szCs w:val="20"/>
              </w:rPr>
              <w:t xml:space="preserve"> (strutture accreditate)</w:t>
            </w:r>
          </w:p>
        </w:tc>
        <w:tc>
          <w:tcPr>
            <w:tcW w:w="566" w:type="pct"/>
            <w:shd w:val="clear" w:color="auto" w:fill="FFFFFF" w:themeFill="background1"/>
            <w:vAlign w:val="bottom"/>
          </w:tcPr>
          <w:p w14:paraId="6BBE4822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i/>
                <w:iCs/>
                <w:sz w:val="18"/>
              </w:rPr>
              <w:t>18,7</w:t>
            </w:r>
          </w:p>
        </w:tc>
        <w:tc>
          <w:tcPr>
            <w:tcW w:w="566" w:type="pct"/>
            <w:gridSpan w:val="2"/>
            <w:shd w:val="clear" w:color="auto" w:fill="FFFFFF" w:themeFill="background1"/>
            <w:vAlign w:val="bottom"/>
          </w:tcPr>
          <w:p w14:paraId="7DE23CF4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i/>
                <w:iCs/>
                <w:sz w:val="18"/>
              </w:rPr>
              <w:t>21,2</w:t>
            </w:r>
          </w:p>
        </w:tc>
        <w:tc>
          <w:tcPr>
            <w:tcW w:w="567" w:type="pct"/>
            <w:gridSpan w:val="3"/>
            <w:shd w:val="clear" w:color="auto" w:fill="FFFFFF" w:themeFill="background1"/>
            <w:vAlign w:val="bottom"/>
          </w:tcPr>
          <w:p w14:paraId="6B495F8A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i/>
                <w:iCs/>
                <w:sz w:val="18"/>
              </w:rPr>
              <w:t>23,8</w:t>
            </w:r>
          </w:p>
        </w:tc>
        <w:tc>
          <w:tcPr>
            <w:tcW w:w="566" w:type="pct"/>
            <w:gridSpan w:val="2"/>
            <w:shd w:val="clear" w:color="auto" w:fill="FFFFFF" w:themeFill="background1"/>
            <w:vAlign w:val="bottom"/>
          </w:tcPr>
          <w:p w14:paraId="78E3178F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/>
                <w:bCs/>
                <w:i/>
                <w:iCs/>
                <w:sz w:val="18"/>
              </w:rPr>
            </w:pPr>
            <w:r w:rsidRPr="00241B57">
              <w:rPr>
                <w:b/>
                <w:bCs/>
                <w:i/>
                <w:iCs/>
                <w:sz w:val="18"/>
              </w:rPr>
              <w:t>20,3</w:t>
            </w:r>
          </w:p>
        </w:tc>
      </w:tr>
      <w:tr w:rsidR="00D06B4D" w:rsidRPr="00241B57" w14:paraId="26EB9ECA" w14:textId="77777777" w:rsidTr="00B84E5C">
        <w:tc>
          <w:tcPr>
            <w:tcW w:w="2735" w:type="pct"/>
            <w:shd w:val="clear" w:color="auto" w:fill="FFFFFF" w:themeFill="background1"/>
            <w:vAlign w:val="bottom"/>
          </w:tcPr>
          <w:p w14:paraId="4A315CF4" w14:textId="5C7109DB" w:rsidR="00D06B4D" w:rsidRPr="00241B57" w:rsidRDefault="00D06B4D" w:rsidP="00D06B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284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>La percezione di una “medietà” non sempre soddisfacente (specie nel Mezzo</w:t>
            </w:r>
            <w:r w:rsidRPr="00241B57">
              <w:rPr>
                <w:sz w:val="18"/>
                <w:szCs w:val="20"/>
              </w:rPr>
              <w:softHyphen/>
              <w:t>giorno) delle prestazioni ospedaliere della propria Regione, sulla base dell’espe</w:t>
            </w:r>
            <w:r w:rsidRPr="00241B57">
              <w:rPr>
                <w:sz w:val="18"/>
                <w:szCs w:val="20"/>
              </w:rPr>
              <w:softHyphen/>
              <w:t xml:space="preserve">rienza avuta negli ultimi due anni, da parte dei </w:t>
            </w:r>
            <w:r w:rsidRPr="00241B57">
              <w:rPr>
                <w:i/>
                <w:iCs/>
                <w:sz w:val="18"/>
                <w:szCs w:val="20"/>
                <w:u w:val="single"/>
              </w:rPr>
              <w:t>caregiver</w:t>
            </w:r>
            <w:r w:rsidRPr="00241B57">
              <w:rPr>
                <w:sz w:val="18"/>
                <w:szCs w:val="20"/>
                <w:u w:val="single"/>
              </w:rPr>
              <w:t xml:space="preserve"> e/o degli altri membri della famiglia</w:t>
            </w:r>
            <w:r w:rsidRPr="00241B57">
              <w:rPr>
                <w:sz w:val="18"/>
                <w:szCs w:val="20"/>
              </w:rPr>
              <w:t xml:space="preserve"> </w:t>
            </w:r>
            <w:r w:rsidRPr="00241B57">
              <w:rPr>
                <w:sz w:val="18"/>
              </w:rPr>
              <w:t>(le percentuali esposte sono al netto delle mancate risposte)</w:t>
            </w:r>
            <w:r w:rsidRPr="00241B57">
              <w:rPr>
                <w:sz w:val="18"/>
                <w:szCs w:val="20"/>
              </w:rPr>
              <w:t>:</w:t>
            </w:r>
          </w:p>
        </w:tc>
        <w:tc>
          <w:tcPr>
            <w:tcW w:w="749" w:type="pct"/>
            <w:gridSpan w:val="2"/>
            <w:shd w:val="clear" w:color="auto" w:fill="FFFFFF" w:themeFill="background1"/>
            <w:vAlign w:val="bottom"/>
          </w:tcPr>
          <w:p w14:paraId="62C7E64A" w14:textId="77777777" w:rsidR="00D06B4D" w:rsidRPr="00241B57" w:rsidRDefault="00D06B4D" w:rsidP="00D06B4D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i/>
                <w:iCs/>
                <w:sz w:val="18"/>
                <w:szCs w:val="20"/>
              </w:rPr>
              <w:t>Prestazioni mediamente del tutto soddisfacenti + soddisfacenti</w:t>
            </w:r>
          </w:p>
        </w:tc>
        <w:tc>
          <w:tcPr>
            <w:tcW w:w="745" w:type="pct"/>
            <w:gridSpan w:val="2"/>
            <w:shd w:val="clear" w:color="auto" w:fill="FFFFFF" w:themeFill="background1"/>
            <w:vAlign w:val="bottom"/>
          </w:tcPr>
          <w:p w14:paraId="29DA8312" w14:textId="77777777" w:rsidR="00D06B4D" w:rsidRPr="00241B57" w:rsidRDefault="00D06B4D" w:rsidP="00D06B4D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i/>
                <w:iCs/>
                <w:sz w:val="18"/>
                <w:szCs w:val="20"/>
              </w:rPr>
              <w:t>Prestazioni mediamente poco + per nulla soddisfacenti</w:t>
            </w:r>
          </w:p>
        </w:tc>
        <w:tc>
          <w:tcPr>
            <w:tcW w:w="771" w:type="pct"/>
            <w:gridSpan w:val="4"/>
            <w:shd w:val="clear" w:color="auto" w:fill="FFFFFF" w:themeFill="background1"/>
            <w:vAlign w:val="bottom"/>
          </w:tcPr>
          <w:p w14:paraId="3EE30961" w14:textId="77777777" w:rsidR="00D06B4D" w:rsidRPr="00241B57" w:rsidRDefault="00D06B4D" w:rsidP="00D06B4D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b/>
                <w:bCs/>
                <w:i/>
                <w:iCs/>
                <w:sz w:val="18"/>
                <w:szCs w:val="20"/>
              </w:rPr>
              <w:t>Prestazioni mediamente poco + per nulla soddisfacenti nel Mezzogiorno</w:t>
            </w:r>
          </w:p>
        </w:tc>
      </w:tr>
      <w:tr w:rsidR="00241B57" w:rsidRPr="00241B57" w14:paraId="3504D71F" w14:textId="77777777" w:rsidTr="001768C3">
        <w:tc>
          <w:tcPr>
            <w:tcW w:w="2735" w:type="pct"/>
            <w:shd w:val="clear" w:color="auto" w:fill="FFFFFF" w:themeFill="background1"/>
            <w:vAlign w:val="bottom"/>
          </w:tcPr>
          <w:p w14:paraId="383768FA" w14:textId="5D814AB7" w:rsidR="00241B57" w:rsidRPr="00CD4DE7" w:rsidRDefault="00241B57" w:rsidP="00241B57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568" w:hanging="284"/>
              <w:contextualSpacing/>
              <w:rPr>
                <w:sz w:val="18"/>
              </w:rPr>
            </w:pPr>
            <w:r w:rsidRPr="00CD4DE7">
              <w:rPr>
                <w:sz w:val="18"/>
                <w:szCs w:val="20"/>
              </w:rPr>
              <w:t>Ospedali di diritto pubblico</w:t>
            </w:r>
          </w:p>
        </w:tc>
        <w:tc>
          <w:tcPr>
            <w:tcW w:w="749" w:type="pct"/>
            <w:gridSpan w:val="2"/>
            <w:shd w:val="clear" w:color="auto" w:fill="FFFFFF" w:themeFill="background1"/>
          </w:tcPr>
          <w:p w14:paraId="40C2FE23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sz w:val="18"/>
              </w:rPr>
              <w:t>64,1</w:t>
            </w:r>
          </w:p>
        </w:tc>
        <w:tc>
          <w:tcPr>
            <w:tcW w:w="745" w:type="pct"/>
            <w:gridSpan w:val="2"/>
            <w:shd w:val="clear" w:color="auto" w:fill="FFFFFF" w:themeFill="background1"/>
            <w:vAlign w:val="center"/>
          </w:tcPr>
          <w:p w14:paraId="139C4ADA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sz w:val="18"/>
              </w:rPr>
              <w:t>35,9</w:t>
            </w:r>
          </w:p>
        </w:tc>
        <w:tc>
          <w:tcPr>
            <w:tcW w:w="771" w:type="pct"/>
            <w:gridSpan w:val="4"/>
            <w:shd w:val="clear" w:color="auto" w:fill="FFFFFF" w:themeFill="background1"/>
            <w:vAlign w:val="center"/>
          </w:tcPr>
          <w:p w14:paraId="6DF04145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b/>
                <w:bCs/>
                <w:kern w:val="2"/>
                <w:sz w:val="18"/>
                <w:szCs w:val="20"/>
              </w:rPr>
              <w:t>47,8</w:t>
            </w:r>
          </w:p>
        </w:tc>
      </w:tr>
      <w:tr w:rsidR="00241B57" w:rsidRPr="00241B57" w14:paraId="2C18C905" w14:textId="77777777" w:rsidTr="001768C3">
        <w:tc>
          <w:tcPr>
            <w:tcW w:w="2735" w:type="pct"/>
            <w:shd w:val="clear" w:color="auto" w:fill="FFFFFF" w:themeFill="background1"/>
            <w:vAlign w:val="bottom"/>
          </w:tcPr>
          <w:p w14:paraId="15BD9F33" w14:textId="08129A27" w:rsidR="00241B57" w:rsidRPr="00CD4DE7" w:rsidRDefault="00241B57" w:rsidP="00241B57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568" w:hanging="284"/>
              <w:contextualSpacing/>
              <w:rPr>
                <w:sz w:val="18"/>
              </w:rPr>
            </w:pPr>
            <w:r w:rsidRPr="00CD4DE7">
              <w:rPr>
                <w:sz w:val="18"/>
                <w:szCs w:val="20"/>
              </w:rPr>
              <w:t>Ospedali di diritto privato (strutture accreditate)</w:t>
            </w:r>
          </w:p>
        </w:tc>
        <w:tc>
          <w:tcPr>
            <w:tcW w:w="749" w:type="pct"/>
            <w:gridSpan w:val="2"/>
            <w:shd w:val="clear" w:color="auto" w:fill="FFFFFF" w:themeFill="background1"/>
          </w:tcPr>
          <w:p w14:paraId="26912053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sz w:val="18"/>
              </w:rPr>
              <w:t>73,8</w:t>
            </w:r>
          </w:p>
        </w:tc>
        <w:tc>
          <w:tcPr>
            <w:tcW w:w="745" w:type="pct"/>
            <w:gridSpan w:val="2"/>
            <w:shd w:val="clear" w:color="auto" w:fill="FFFFFF" w:themeFill="background1"/>
            <w:vAlign w:val="center"/>
          </w:tcPr>
          <w:p w14:paraId="2891DDDB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sz w:val="18"/>
              </w:rPr>
              <w:t>26,2</w:t>
            </w:r>
          </w:p>
        </w:tc>
        <w:tc>
          <w:tcPr>
            <w:tcW w:w="771" w:type="pct"/>
            <w:gridSpan w:val="4"/>
            <w:shd w:val="clear" w:color="auto" w:fill="FFFFFF" w:themeFill="background1"/>
            <w:vAlign w:val="center"/>
          </w:tcPr>
          <w:p w14:paraId="7EF8DBE4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b/>
                <w:bCs/>
                <w:kern w:val="2"/>
                <w:sz w:val="18"/>
                <w:szCs w:val="20"/>
              </w:rPr>
              <w:t>27,3</w:t>
            </w:r>
          </w:p>
        </w:tc>
      </w:tr>
      <w:tr w:rsidR="00241B57" w:rsidRPr="00241B57" w14:paraId="68D32B11" w14:textId="77777777" w:rsidTr="00B84E5C">
        <w:tc>
          <w:tcPr>
            <w:tcW w:w="2735" w:type="pct"/>
            <w:shd w:val="clear" w:color="auto" w:fill="FFFFFF" w:themeFill="background1"/>
          </w:tcPr>
          <w:p w14:paraId="4DE47CCA" w14:textId="77777777" w:rsidR="00241B57" w:rsidRPr="00241B57" w:rsidRDefault="00241B57" w:rsidP="00241B57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568" w:hanging="284"/>
              <w:contextualSpacing/>
              <w:rPr>
                <w:sz w:val="18"/>
              </w:rPr>
            </w:pPr>
            <w:r w:rsidRPr="00241B57">
              <w:rPr>
                <w:sz w:val="18"/>
              </w:rPr>
              <w:t>Cliniche private a pagamento</w:t>
            </w:r>
          </w:p>
        </w:tc>
        <w:tc>
          <w:tcPr>
            <w:tcW w:w="749" w:type="pct"/>
            <w:gridSpan w:val="2"/>
            <w:shd w:val="clear" w:color="auto" w:fill="FFFFFF" w:themeFill="background1"/>
          </w:tcPr>
          <w:p w14:paraId="51941F28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sz w:val="18"/>
              </w:rPr>
              <w:t>76,7</w:t>
            </w:r>
          </w:p>
        </w:tc>
        <w:tc>
          <w:tcPr>
            <w:tcW w:w="745" w:type="pct"/>
            <w:gridSpan w:val="2"/>
            <w:shd w:val="clear" w:color="auto" w:fill="FFFFFF" w:themeFill="background1"/>
            <w:vAlign w:val="center"/>
          </w:tcPr>
          <w:p w14:paraId="3A7C3033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sz w:val="18"/>
              </w:rPr>
              <w:t>23,3</w:t>
            </w:r>
          </w:p>
        </w:tc>
        <w:tc>
          <w:tcPr>
            <w:tcW w:w="771" w:type="pct"/>
            <w:gridSpan w:val="4"/>
            <w:shd w:val="clear" w:color="auto" w:fill="FFFFFF" w:themeFill="background1"/>
            <w:vAlign w:val="center"/>
          </w:tcPr>
          <w:p w14:paraId="4951F93B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241B57">
              <w:rPr>
                <w:b/>
                <w:bCs/>
                <w:kern w:val="2"/>
                <w:sz w:val="18"/>
                <w:szCs w:val="20"/>
              </w:rPr>
              <w:t>22,4</w:t>
            </w:r>
          </w:p>
        </w:tc>
      </w:tr>
      <w:tr w:rsidR="00241B57" w:rsidRPr="00241B57" w14:paraId="671B8ED6" w14:textId="77777777" w:rsidTr="00B84E5C">
        <w:trPr>
          <w:gridAfter w:val="1"/>
          <w:wAfter w:w="7" w:type="pct"/>
          <w:trHeight w:val="127"/>
        </w:trPr>
        <w:tc>
          <w:tcPr>
            <w:tcW w:w="2735" w:type="pct"/>
            <w:vMerge w:val="restart"/>
            <w:vAlign w:val="center"/>
          </w:tcPr>
          <w:p w14:paraId="082814D4" w14:textId="77940899" w:rsidR="00241B57" w:rsidRPr="00241B57" w:rsidRDefault="00241B57" w:rsidP="00241B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284" w:hanging="284"/>
              <w:rPr>
                <w:sz w:val="18"/>
              </w:rPr>
            </w:pPr>
            <w:r w:rsidRPr="00241B57">
              <w:rPr>
                <w:sz w:val="18"/>
                <w:szCs w:val="20"/>
              </w:rPr>
              <w:t xml:space="preserve">Il peggioramento del livello di soddisfazione percepito dalla </w:t>
            </w:r>
            <w:r w:rsidRPr="00241B57">
              <w:rPr>
                <w:sz w:val="18"/>
                <w:szCs w:val="20"/>
                <w:u w:val="single"/>
              </w:rPr>
              <w:t>popolazione</w:t>
            </w:r>
            <w:r w:rsidRPr="00241B57">
              <w:rPr>
                <w:sz w:val="18"/>
                <w:szCs w:val="20"/>
              </w:rPr>
              <w:t xml:space="preserve"> circa le esperienze effettivamente avute nell’ambito del Pronto Soccorso di uno o più ospe</w:t>
            </w:r>
            <w:r w:rsidRPr="00241B57">
              <w:rPr>
                <w:sz w:val="18"/>
                <w:szCs w:val="20"/>
              </w:rPr>
              <w:softHyphen/>
              <w:t>dali l’ultima volta che ciò è avvenuto, nel corso degli ultimi dodici mesi (con uno svantaggio pronunciato per il Mezzogiorno):</w:t>
            </w:r>
          </w:p>
        </w:tc>
        <w:tc>
          <w:tcPr>
            <w:tcW w:w="749" w:type="pct"/>
            <w:gridSpan w:val="2"/>
            <w:vMerge w:val="restart"/>
            <w:vAlign w:val="bottom"/>
          </w:tcPr>
          <w:p w14:paraId="04B3C0D7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  <w:szCs w:val="20"/>
              </w:rPr>
            </w:pPr>
            <w:r w:rsidRPr="00241B57">
              <w:rPr>
                <w:i/>
                <w:iCs/>
                <w:sz w:val="18"/>
                <w:szCs w:val="20"/>
              </w:rPr>
              <w:t>Molto +</w:t>
            </w:r>
          </w:p>
          <w:p w14:paraId="7EF9B7F1" w14:textId="77777777" w:rsidR="00241B57" w:rsidRPr="00241B57" w:rsidRDefault="00241B57" w:rsidP="00241B57">
            <w:pPr>
              <w:widowControl w:val="0"/>
              <w:pBdr>
                <w:bottom w:val="single" w:sz="4" w:space="0" w:color="auto"/>
              </w:pBdr>
              <w:autoSpaceDE w:val="0"/>
              <w:spacing w:before="0" w:after="0"/>
              <w:jc w:val="center"/>
              <w:rPr>
                <w:sz w:val="18"/>
              </w:rPr>
            </w:pPr>
            <w:r w:rsidRPr="00241B57">
              <w:rPr>
                <w:i/>
                <w:iCs/>
                <w:sz w:val="18"/>
                <w:szCs w:val="20"/>
              </w:rPr>
              <w:t>Abbastanza soddisfatto</w:t>
            </w:r>
          </w:p>
        </w:tc>
        <w:tc>
          <w:tcPr>
            <w:tcW w:w="1509" w:type="pct"/>
            <w:gridSpan w:val="5"/>
            <w:vAlign w:val="bottom"/>
          </w:tcPr>
          <w:p w14:paraId="4D128F76" w14:textId="77777777" w:rsidR="00241B57" w:rsidRPr="00241B57" w:rsidRDefault="00241B57" w:rsidP="00241B57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i/>
                <w:iCs/>
                <w:sz w:val="18"/>
                <w:szCs w:val="20"/>
              </w:rPr>
            </w:pPr>
            <w:r w:rsidRPr="00241B57">
              <w:rPr>
                <w:i/>
                <w:iCs/>
                <w:sz w:val="18"/>
                <w:szCs w:val="20"/>
              </w:rPr>
              <w:t xml:space="preserve">Poco + </w:t>
            </w:r>
          </w:p>
          <w:p w14:paraId="5C1685E5" w14:textId="77777777" w:rsidR="00241B57" w:rsidRPr="00241B57" w:rsidRDefault="00241B57" w:rsidP="00241B57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sz w:val="18"/>
              </w:rPr>
            </w:pPr>
            <w:r w:rsidRPr="00241B57">
              <w:rPr>
                <w:i/>
                <w:iCs/>
                <w:sz w:val="18"/>
                <w:szCs w:val="20"/>
              </w:rPr>
              <w:t>Per niente soddisfatto</w:t>
            </w:r>
          </w:p>
        </w:tc>
      </w:tr>
      <w:tr w:rsidR="00241B57" w:rsidRPr="00241B57" w14:paraId="529741ED" w14:textId="77777777" w:rsidTr="00B84E5C">
        <w:trPr>
          <w:gridAfter w:val="1"/>
          <w:wAfter w:w="7" w:type="pct"/>
          <w:trHeight w:val="91"/>
        </w:trPr>
        <w:tc>
          <w:tcPr>
            <w:tcW w:w="2735" w:type="pct"/>
            <w:vMerge/>
            <w:vAlign w:val="center"/>
          </w:tcPr>
          <w:p w14:paraId="2743901E" w14:textId="77777777" w:rsidR="00241B57" w:rsidRPr="00241B57" w:rsidRDefault="00241B57" w:rsidP="00241B57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749" w:type="pct"/>
            <w:gridSpan w:val="2"/>
            <w:vMerge/>
            <w:vAlign w:val="bottom"/>
          </w:tcPr>
          <w:p w14:paraId="65FCA9B6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749" w:type="pct"/>
            <w:gridSpan w:val="3"/>
          </w:tcPr>
          <w:p w14:paraId="29078AA7" w14:textId="77777777" w:rsidR="00241B57" w:rsidRPr="00241B57" w:rsidRDefault="00241B57" w:rsidP="00241B57">
            <w:pPr>
              <w:widowControl w:val="0"/>
              <w:pBdr>
                <w:bottom w:val="single" w:sz="4" w:space="0" w:color="auto"/>
              </w:pBdr>
              <w:autoSpaceDE w:val="0"/>
              <w:spacing w:before="0" w:after="0"/>
              <w:jc w:val="center"/>
              <w:rPr>
                <w:i/>
                <w:iCs/>
                <w:sz w:val="18"/>
                <w:szCs w:val="20"/>
              </w:rPr>
            </w:pPr>
            <w:r w:rsidRPr="00241B57">
              <w:rPr>
                <w:i/>
                <w:iCs/>
                <w:sz w:val="18"/>
                <w:szCs w:val="20"/>
              </w:rPr>
              <w:t>Totale</w:t>
            </w:r>
          </w:p>
        </w:tc>
        <w:tc>
          <w:tcPr>
            <w:tcW w:w="760" w:type="pct"/>
            <w:gridSpan w:val="2"/>
          </w:tcPr>
          <w:p w14:paraId="215EF2D9" w14:textId="77777777" w:rsidR="00241B57" w:rsidRPr="00241B57" w:rsidRDefault="00241B57" w:rsidP="00241B57">
            <w:pPr>
              <w:widowControl w:val="0"/>
              <w:pBdr>
                <w:bottom w:val="single" w:sz="4" w:space="0" w:color="auto"/>
              </w:pBdr>
              <w:autoSpaceDE w:val="0"/>
              <w:spacing w:before="0" w:after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241B57">
              <w:rPr>
                <w:b/>
                <w:bCs/>
                <w:i/>
                <w:iCs/>
                <w:sz w:val="18"/>
                <w:szCs w:val="20"/>
              </w:rPr>
              <w:t>Mezzogiorno</w:t>
            </w:r>
          </w:p>
        </w:tc>
      </w:tr>
      <w:tr w:rsidR="00241B57" w:rsidRPr="00241B57" w14:paraId="09BD06BD" w14:textId="77777777" w:rsidTr="00B84E5C">
        <w:trPr>
          <w:gridAfter w:val="1"/>
          <w:wAfter w:w="7" w:type="pct"/>
          <w:trHeight w:val="91"/>
        </w:trPr>
        <w:tc>
          <w:tcPr>
            <w:tcW w:w="2735" w:type="pct"/>
            <w:vMerge/>
            <w:vAlign w:val="center"/>
          </w:tcPr>
          <w:p w14:paraId="0FC90BCC" w14:textId="77777777" w:rsidR="00241B57" w:rsidRPr="00241B57" w:rsidRDefault="00241B57" w:rsidP="00241B57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749" w:type="pct"/>
            <w:gridSpan w:val="2"/>
            <w:vMerge/>
            <w:vAlign w:val="bottom"/>
          </w:tcPr>
          <w:p w14:paraId="2ED65DC3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749" w:type="pct"/>
            <w:gridSpan w:val="3"/>
          </w:tcPr>
          <w:p w14:paraId="70D7D4B5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760" w:type="pct"/>
            <w:gridSpan w:val="2"/>
          </w:tcPr>
          <w:p w14:paraId="23081FEA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241B57" w:rsidRPr="00241B57" w14:paraId="712455BC" w14:textId="77777777" w:rsidTr="00B84E5C">
        <w:trPr>
          <w:gridAfter w:val="1"/>
          <w:wAfter w:w="7" w:type="pct"/>
        </w:trPr>
        <w:tc>
          <w:tcPr>
            <w:tcW w:w="2735" w:type="pct"/>
            <w:vAlign w:val="center"/>
          </w:tcPr>
          <w:p w14:paraId="33B83303" w14:textId="77777777" w:rsidR="00241B57" w:rsidRPr="00241B57" w:rsidRDefault="00241B57" w:rsidP="00241B57">
            <w:pPr>
              <w:pStyle w:val="Paragrafoelenco"/>
              <w:widowControl w:val="0"/>
              <w:numPr>
                <w:ilvl w:val="0"/>
                <w:numId w:val="6"/>
              </w:numP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>Anno 2018</w:t>
            </w:r>
          </w:p>
        </w:tc>
        <w:tc>
          <w:tcPr>
            <w:tcW w:w="749" w:type="pct"/>
            <w:gridSpan w:val="2"/>
            <w:vAlign w:val="center"/>
          </w:tcPr>
          <w:p w14:paraId="3C89D654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sz w:val="18"/>
              </w:rPr>
            </w:pPr>
            <w:r w:rsidRPr="00241B57">
              <w:rPr>
                <w:sz w:val="18"/>
              </w:rPr>
              <w:t>65,1</w:t>
            </w:r>
          </w:p>
        </w:tc>
        <w:tc>
          <w:tcPr>
            <w:tcW w:w="749" w:type="pct"/>
            <w:gridSpan w:val="3"/>
            <w:vAlign w:val="center"/>
          </w:tcPr>
          <w:p w14:paraId="0EF01EFF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sz w:val="18"/>
              </w:rPr>
            </w:pPr>
            <w:r w:rsidRPr="00241B57">
              <w:rPr>
                <w:sz w:val="18"/>
              </w:rPr>
              <w:t>29,0</w:t>
            </w:r>
          </w:p>
        </w:tc>
        <w:tc>
          <w:tcPr>
            <w:tcW w:w="760" w:type="pct"/>
            <w:gridSpan w:val="2"/>
            <w:shd w:val="clear" w:color="auto" w:fill="FFFFFF" w:themeFill="background1"/>
            <w:vAlign w:val="center"/>
          </w:tcPr>
          <w:p w14:paraId="2CE1E53E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b/>
                <w:bCs/>
                <w:kern w:val="2"/>
                <w:sz w:val="18"/>
                <w:szCs w:val="20"/>
              </w:rPr>
            </w:pPr>
            <w:r w:rsidRPr="00241B57">
              <w:rPr>
                <w:b/>
                <w:bCs/>
                <w:sz w:val="18"/>
              </w:rPr>
              <w:t>37,9</w:t>
            </w:r>
          </w:p>
        </w:tc>
      </w:tr>
      <w:tr w:rsidR="00241B57" w:rsidRPr="00241B57" w14:paraId="5A30E6D6" w14:textId="77777777" w:rsidTr="00B84E5C">
        <w:trPr>
          <w:gridAfter w:val="1"/>
          <w:wAfter w:w="7" w:type="pct"/>
        </w:trPr>
        <w:tc>
          <w:tcPr>
            <w:tcW w:w="2735" w:type="pct"/>
            <w:vAlign w:val="center"/>
          </w:tcPr>
          <w:p w14:paraId="19FA01D0" w14:textId="77777777" w:rsidR="00241B57" w:rsidRPr="00241B57" w:rsidRDefault="00241B57" w:rsidP="00241B57">
            <w:pPr>
              <w:pStyle w:val="Paragrafoelenco"/>
              <w:widowControl w:val="0"/>
              <w:numPr>
                <w:ilvl w:val="0"/>
                <w:numId w:val="6"/>
              </w:numP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>Anno 2019</w:t>
            </w:r>
          </w:p>
        </w:tc>
        <w:tc>
          <w:tcPr>
            <w:tcW w:w="749" w:type="pct"/>
            <w:gridSpan w:val="2"/>
            <w:vAlign w:val="center"/>
          </w:tcPr>
          <w:p w14:paraId="27244D6C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sz w:val="18"/>
              </w:rPr>
            </w:pPr>
            <w:r w:rsidRPr="00241B57">
              <w:rPr>
                <w:sz w:val="18"/>
              </w:rPr>
              <w:t>59,7</w:t>
            </w:r>
          </w:p>
        </w:tc>
        <w:tc>
          <w:tcPr>
            <w:tcW w:w="749" w:type="pct"/>
            <w:gridSpan w:val="3"/>
            <w:vAlign w:val="center"/>
          </w:tcPr>
          <w:p w14:paraId="36BAFF4D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sz w:val="18"/>
              </w:rPr>
            </w:pPr>
            <w:r w:rsidRPr="00241B57">
              <w:rPr>
                <w:sz w:val="18"/>
              </w:rPr>
              <w:t>37,5</w:t>
            </w:r>
          </w:p>
        </w:tc>
        <w:tc>
          <w:tcPr>
            <w:tcW w:w="760" w:type="pct"/>
            <w:gridSpan w:val="2"/>
            <w:shd w:val="clear" w:color="auto" w:fill="FFFFFF" w:themeFill="background1"/>
            <w:vAlign w:val="center"/>
          </w:tcPr>
          <w:p w14:paraId="3EE1095C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b/>
                <w:bCs/>
                <w:kern w:val="2"/>
                <w:sz w:val="18"/>
                <w:szCs w:val="20"/>
              </w:rPr>
            </w:pPr>
            <w:r w:rsidRPr="00241B57">
              <w:rPr>
                <w:b/>
                <w:bCs/>
                <w:sz w:val="18"/>
              </w:rPr>
              <w:t>45,9</w:t>
            </w:r>
          </w:p>
        </w:tc>
      </w:tr>
      <w:tr w:rsidR="00241B57" w:rsidRPr="00241B57" w14:paraId="63A4E662" w14:textId="77777777" w:rsidTr="00B84E5C">
        <w:trPr>
          <w:gridAfter w:val="1"/>
          <w:wAfter w:w="7" w:type="pct"/>
          <w:trHeight w:val="115"/>
        </w:trPr>
        <w:tc>
          <w:tcPr>
            <w:tcW w:w="2735" w:type="pct"/>
            <w:vMerge w:val="restart"/>
            <w:vAlign w:val="bottom"/>
          </w:tcPr>
          <w:p w14:paraId="21148679" w14:textId="051AC0F5" w:rsidR="00241B57" w:rsidRPr="00241B57" w:rsidRDefault="00241B57" w:rsidP="00241B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284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 xml:space="preserve">L’aumento conseguente della propensione dichiarata dai </w:t>
            </w:r>
            <w:r w:rsidRPr="00241B57">
              <w:rPr>
                <w:i/>
                <w:iCs/>
                <w:sz w:val="18"/>
                <w:szCs w:val="20"/>
              </w:rPr>
              <w:t xml:space="preserve">caregiver </w:t>
            </w:r>
            <w:r w:rsidRPr="00241B57">
              <w:rPr>
                <w:sz w:val="18"/>
                <w:szCs w:val="20"/>
              </w:rPr>
              <w:t>nei confronti del ricorso a strutture ospedaliere di altre Regioni rispetto a quella di residenza:</w:t>
            </w:r>
          </w:p>
        </w:tc>
        <w:tc>
          <w:tcPr>
            <w:tcW w:w="749" w:type="pct"/>
            <w:gridSpan w:val="2"/>
            <w:vAlign w:val="center"/>
          </w:tcPr>
          <w:p w14:paraId="2B77848F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1509" w:type="pct"/>
            <w:gridSpan w:val="5"/>
            <w:vAlign w:val="center"/>
          </w:tcPr>
          <w:p w14:paraId="2325290F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i/>
                <w:iCs/>
                <w:sz w:val="18"/>
              </w:rPr>
            </w:pPr>
          </w:p>
        </w:tc>
      </w:tr>
      <w:tr w:rsidR="00241B57" w:rsidRPr="00241B57" w14:paraId="782B5066" w14:textId="77777777" w:rsidTr="00B84E5C">
        <w:trPr>
          <w:gridAfter w:val="1"/>
          <w:wAfter w:w="7" w:type="pct"/>
          <w:trHeight w:val="115"/>
        </w:trPr>
        <w:tc>
          <w:tcPr>
            <w:tcW w:w="2735" w:type="pct"/>
            <w:vMerge/>
            <w:vAlign w:val="bottom"/>
          </w:tcPr>
          <w:p w14:paraId="482737CF" w14:textId="77777777" w:rsidR="00241B57" w:rsidRPr="00241B57" w:rsidRDefault="00241B57" w:rsidP="00241B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284" w:hanging="284"/>
              <w:rPr>
                <w:sz w:val="18"/>
                <w:szCs w:val="20"/>
              </w:rPr>
            </w:pPr>
          </w:p>
        </w:tc>
        <w:tc>
          <w:tcPr>
            <w:tcW w:w="749" w:type="pct"/>
            <w:gridSpan w:val="2"/>
          </w:tcPr>
          <w:p w14:paraId="2394E3DB" w14:textId="77777777" w:rsidR="00241B57" w:rsidRPr="00241B57" w:rsidRDefault="00241B57" w:rsidP="00241B57">
            <w:pPr>
              <w:widowControl w:val="0"/>
              <w:pBdr>
                <w:bottom w:val="single" w:sz="4" w:space="0" w:color="auto"/>
              </w:pBdr>
              <w:autoSpaceDE w:val="0"/>
              <w:spacing w:before="0" w:after="0"/>
              <w:jc w:val="center"/>
              <w:rPr>
                <w:sz w:val="18"/>
              </w:rPr>
            </w:pPr>
            <w:r w:rsidRPr="00241B57">
              <w:rPr>
                <w:i/>
                <w:iCs/>
                <w:sz w:val="18"/>
              </w:rPr>
              <w:t>2016</w:t>
            </w:r>
          </w:p>
        </w:tc>
        <w:tc>
          <w:tcPr>
            <w:tcW w:w="1509" w:type="pct"/>
            <w:gridSpan w:val="5"/>
            <w:vAlign w:val="center"/>
          </w:tcPr>
          <w:p w14:paraId="21F6125D" w14:textId="77777777" w:rsidR="00241B57" w:rsidRPr="00241B57" w:rsidRDefault="00241B57" w:rsidP="00241B57">
            <w:pPr>
              <w:widowControl w:val="0"/>
              <w:pBdr>
                <w:bottom w:val="single" w:sz="4" w:space="0" w:color="auto"/>
              </w:pBdr>
              <w:autoSpaceDE w:val="0"/>
              <w:spacing w:before="0" w:after="0"/>
              <w:jc w:val="center"/>
              <w:rPr>
                <w:b/>
                <w:bCs/>
                <w:i/>
                <w:iCs/>
                <w:sz w:val="18"/>
              </w:rPr>
            </w:pPr>
            <w:r w:rsidRPr="00241B57">
              <w:rPr>
                <w:i/>
                <w:iCs/>
                <w:sz w:val="18"/>
              </w:rPr>
              <w:t>2019</w:t>
            </w:r>
          </w:p>
        </w:tc>
      </w:tr>
      <w:tr w:rsidR="00241B57" w:rsidRPr="00241B57" w14:paraId="3FC0F35B" w14:textId="77777777" w:rsidTr="00B84E5C">
        <w:trPr>
          <w:gridAfter w:val="1"/>
          <w:wAfter w:w="7" w:type="pct"/>
          <w:trHeight w:val="115"/>
        </w:trPr>
        <w:tc>
          <w:tcPr>
            <w:tcW w:w="2735" w:type="pct"/>
            <w:vMerge/>
            <w:vAlign w:val="bottom"/>
          </w:tcPr>
          <w:p w14:paraId="30B8585C" w14:textId="77777777" w:rsidR="00241B57" w:rsidRPr="00241B57" w:rsidRDefault="00241B57" w:rsidP="00241B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284" w:hanging="284"/>
              <w:rPr>
                <w:sz w:val="18"/>
                <w:szCs w:val="20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2B228C47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749" w:type="pct"/>
            <w:gridSpan w:val="3"/>
            <w:vAlign w:val="center"/>
          </w:tcPr>
          <w:p w14:paraId="676C44E0" w14:textId="77777777" w:rsidR="00241B57" w:rsidRPr="00241B57" w:rsidRDefault="00241B57" w:rsidP="00241B57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sz w:val="18"/>
              </w:rPr>
            </w:pPr>
            <w:r w:rsidRPr="00241B57">
              <w:rPr>
                <w:i/>
                <w:iCs/>
                <w:sz w:val="18"/>
              </w:rPr>
              <w:t>Totale</w:t>
            </w:r>
          </w:p>
        </w:tc>
        <w:tc>
          <w:tcPr>
            <w:tcW w:w="760" w:type="pct"/>
            <w:gridSpan w:val="2"/>
            <w:shd w:val="clear" w:color="auto" w:fill="FFFFFF" w:themeFill="background1"/>
            <w:vAlign w:val="center"/>
          </w:tcPr>
          <w:p w14:paraId="3F9B3159" w14:textId="77777777" w:rsidR="00241B57" w:rsidRPr="00241B57" w:rsidRDefault="00241B57" w:rsidP="00241B57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b/>
                <w:bCs/>
                <w:sz w:val="18"/>
              </w:rPr>
            </w:pPr>
            <w:r w:rsidRPr="00241B57">
              <w:rPr>
                <w:b/>
                <w:bCs/>
                <w:i/>
                <w:iCs/>
                <w:sz w:val="18"/>
              </w:rPr>
              <w:t>Mezzogiorno</w:t>
            </w:r>
          </w:p>
        </w:tc>
      </w:tr>
      <w:tr w:rsidR="00241B57" w:rsidRPr="00241B57" w14:paraId="508669FF" w14:textId="77777777" w:rsidTr="00B84E5C">
        <w:trPr>
          <w:gridAfter w:val="1"/>
          <w:wAfter w:w="7" w:type="pct"/>
        </w:trPr>
        <w:tc>
          <w:tcPr>
            <w:tcW w:w="2735" w:type="pct"/>
          </w:tcPr>
          <w:p w14:paraId="6844C399" w14:textId="77777777" w:rsidR="00241B57" w:rsidRPr="00241B57" w:rsidRDefault="00241B57" w:rsidP="00241B57">
            <w:pPr>
              <w:pStyle w:val="Paragrafoelenco"/>
              <w:widowControl w:val="0"/>
              <w:numPr>
                <w:ilvl w:val="0"/>
                <w:numId w:val="6"/>
              </w:numP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>Orientamento a fare concretamente l’esperienza presso strutture ospedaliere extraregionali</w:t>
            </w:r>
          </w:p>
        </w:tc>
        <w:tc>
          <w:tcPr>
            <w:tcW w:w="749" w:type="pct"/>
            <w:gridSpan w:val="2"/>
            <w:vAlign w:val="center"/>
          </w:tcPr>
          <w:p w14:paraId="3110A0BF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sz w:val="18"/>
              </w:rPr>
            </w:pPr>
            <w:r w:rsidRPr="00241B57">
              <w:rPr>
                <w:sz w:val="18"/>
              </w:rPr>
              <w:t>10,1</w:t>
            </w:r>
          </w:p>
        </w:tc>
        <w:tc>
          <w:tcPr>
            <w:tcW w:w="749" w:type="pct"/>
            <w:gridSpan w:val="3"/>
            <w:vAlign w:val="center"/>
          </w:tcPr>
          <w:p w14:paraId="65F382E5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sz w:val="18"/>
              </w:rPr>
            </w:pPr>
            <w:r w:rsidRPr="00241B57">
              <w:rPr>
                <w:sz w:val="18"/>
              </w:rPr>
              <w:t>12,4</w:t>
            </w:r>
          </w:p>
        </w:tc>
        <w:tc>
          <w:tcPr>
            <w:tcW w:w="760" w:type="pct"/>
            <w:gridSpan w:val="2"/>
            <w:shd w:val="clear" w:color="auto" w:fill="FFFFFF" w:themeFill="background1"/>
            <w:vAlign w:val="center"/>
          </w:tcPr>
          <w:p w14:paraId="49F17E48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b/>
                <w:bCs/>
                <w:sz w:val="18"/>
              </w:rPr>
            </w:pPr>
            <w:r w:rsidRPr="00241B57">
              <w:rPr>
                <w:b/>
                <w:bCs/>
                <w:sz w:val="18"/>
              </w:rPr>
              <w:t>17,5</w:t>
            </w:r>
          </w:p>
        </w:tc>
      </w:tr>
      <w:tr w:rsidR="00241B57" w:rsidRPr="00241B57" w14:paraId="69F55A14" w14:textId="77777777" w:rsidTr="00B84E5C">
        <w:trPr>
          <w:gridAfter w:val="1"/>
          <w:wAfter w:w="7" w:type="pct"/>
        </w:trPr>
        <w:tc>
          <w:tcPr>
            <w:tcW w:w="2735" w:type="pct"/>
          </w:tcPr>
          <w:p w14:paraId="4F9D2D4F" w14:textId="77777777" w:rsidR="00241B57" w:rsidRPr="00241B57" w:rsidRDefault="00241B57" w:rsidP="00241B57">
            <w:pPr>
              <w:pStyle w:val="Paragrafoelenco"/>
              <w:widowControl w:val="0"/>
              <w:numPr>
                <w:ilvl w:val="0"/>
                <w:numId w:val="6"/>
              </w:numP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>Orientamento potenziale a fare l’esperienza presso strutture ospedaliere extra</w:t>
            </w:r>
            <w:r w:rsidRPr="00241B57">
              <w:rPr>
                <w:sz w:val="18"/>
                <w:szCs w:val="20"/>
              </w:rPr>
              <w:softHyphen/>
              <w:t>regionali</w:t>
            </w:r>
          </w:p>
        </w:tc>
        <w:tc>
          <w:tcPr>
            <w:tcW w:w="749" w:type="pct"/>
            <w:gridSpan w:val="2"/>
            <w:vAlign w:val="center"/>
          </w:tcPr>
          <w:p w14:paraId="5BE00916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sz w:val="18"/>
              </w:rPr>
            </w:pPr>
            <w:r w:rsidRPr="00241B57">
              <w:rPr>
                <w:sz w:val="18"/>
              </w:rPr>
              <w:t>18,1</w:t>
            </w:r>
          </w:p>
        </w:tc>
        <w:tc>
          <w:tcPr>
            <w:tcW w:w="749" w:type="pct"/>
            <w:gridSpan w:val="3"/>
            <w:vAlign w:val="center"/>
          </w:tcPr>
          <w:p w14:paraId="3CC98595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sz w:val="18"/>
              </w:rPr>
            </w:pPr>
            <w:r w:rsidRPr="00241B57">
              <w:rPr>
                <w:sz w:val="18"/>
              </w:rPr>
              <w:t>39,6</w:t>
            </w:r>
          </w:p>
        </w:tc>
        <w:tc>
          <w:tcPr>
            <w:tcW w:w="760" w:type="pct"/>
            <w:gridSpan w:val="2"/>
            <w:shd w:val="clear" w:color="auto" w:fill="FFFFFF" w:themeFill="background1"/>
            <w:vAlign w:val="center"/>
          </w:tcPr>
          <w:p w14:paraId="1A1670E2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b/>
                <w:bCs/>
                <w:sz w:val="18"/>
              </w:rPr>
            </w:pPr>
            <w:r w:rsidRPr="00241B57">
              <w:rPr>
                <w:b/>
                <w:bCs/>
                <w:sz w:val="18"/>
              </w:rPr>
              <w:t>42,4</w:t>
            </w:r>
          </w:p>
        </w:tc>
      </w:tr>
      <w:tr w:rsidR="00241B57" w:rsidRPr="00241B57" w14:paraId="32C9D16D" w14:textId="77777777" w:rsidTr="00B84E5C">
        <w:trPr>
          <w:gridAfter w:val="1"/>
          <w:wAfter w:w="7" w:type="pct"/>
        </w:trPr>
        <w:tc>
          <w:tcPr>
            <w:tcW w:w="2735" w:type="pct"/>
            <w:tcBorders>
              <w:bottom w:val="single" w:sz="4" w:space="0" w:color="auto"/>
            </w:tcBorders>
          </w:tcPr>
          <w:p w14:paraId="048D9227" w14:textId="77777777" w:rsidR="00241B57" w:rsidRPr="00241B57" w:rsidRDefault="00241B57" w:rsidP="00241B57">
            <w:pPr>
              <w:pStyle w:val="Paragrafoelenco"/>
              <w:widowControl w:val="0"/>
              <w:numPr>
                <w:ilvl w:val="0"/>
                <w:numId w:val="6"/>
              </w:numP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 xml:space="preserve">Non si sono posti il problema 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  <w:vAlign w:val="center"/>
          </w:tcPr>
          <w:p w14:paraId="462C9053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sz w:val="18"/>
              </w:rPr>
            </w:pPr>
            <w:r w:rsidRPr="00241B57">
              <w:rPr>
                <w:sz w:val="18"/>
              </w:rPr>
              <w:t>71,8</w:t>
            </w:r>
          </w:p>
        </w:tc>
        <w:tc>
          <w:tcPr>
            <w:tcW w:w="749" w:type="pct"/>
            <w:gridSpan w:val="3"/>
            <w:tcBorders>
              <w:bottom w:val="single" w:sz="4" w:space="0" w:color="auto"/>
            </w:tcBorders>
            <w:vAlign w:val="center"/>
          </w:tcPr>
          <w:p w14:paraId="36A995CC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sz w:val="18"/>
              </w:rPr>
            </w:pPr>
            <w:r w:rsidRPr="00241B57">
              <w:rPr>
                <w:sz w:val="18"/>
              </w:rPr>
              <w:t>50,1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47E31" w14:textId="77777777" w:rsidR="00241B57" w:rsidRPr="00241B57" w:rsidRDefault="00241B57" w:rsidP="00241B57">
            <w:pPr>
              <w:widowControl w:val="0"/>
              <w:autoSpaceDE w:val="0"/>
              <w:spacing w:before="0" w:after="0"/>
              <w:jc w:val="center"/>
              <w:rPr>
                <w:b/>
                <w:bCs/>
                <w:sz w:val="18"/>
              </w:rPr>
            </w:pPr>
            <w:r w:rsidRPr="00241B57">
              <w:rPr>
                <w:b/>
                <w:bCs/>
                <w:sz w:val="18"/>
              </w:rPr>
              <w:t>48,0</w:t>
            </w:r>
          </w:p>
        </w:tc>
      </w:tr>
    </w:tbl>
    <w:p w14:paraId="03742236" w14:textId="77777777" w:rsidR="00D06B4D" w:rsidRPr="00241B57" w:rsidRDefault="00D06B4D" w:rsidP="00D06B4D">
      <w:pPr>
        <w:widowControl w:val="0"/>
        <w:spacing w:before="0" w:after="0"/>
        <w:rPr>
          <w:sz w:val="18"/>
        </w:rPr>
      </w:pPr>
    </w:p>
    <w:p w14:paraId="19511C67" w14:textId="77777777" w:rsidR="00D06B4D" w:rsidRPr="00241B57" w:rsidRDefault="00D06B4D" w:rsidP="00D06B4D">
      <w:pPr>
        <w:widowControl w:val="0"/>
        <w:spacing w:before="0" w:after="0"/>
        <w:jc w:val="right"/>
        <w:rPr>
          <w:sz w:val="18"/>
        </w:rPr>
      </w:pPr>
      <w:r w:rsidRPr="00241B57">
        <w:rPr>
          <w:sz w:val="18"/>
        </w:rPr>
        <w:t>./.</w:t>
      </w:r>
    </w:p>
    <w:p w14:paraId="57BB6A64" w14:textId="77777777" w:rsidR="00D06B4D" w:rsidRPr="00241B57" w:rsidRDefault="00D06B4D" w:rsidP="00D06B4D">
      <w:pPr>
        <w:widowControl w:val="0"/>
        <w:spacing w:before="0" w:after="0"/>
        <w:jc w:val="left"/>
        <w:rPr>
          <w:sz w:val="18"/>
        </w:rPr>
      </w:pPr>
      <w:r w:rsidRPr="00241B57">
        <w:rPr>
          <w:sz w:val="18"/>
        </w:rPr>
        <w:br w:type="page"/>
      </w:r>
    </w:p>
    <w:p w14:paraId="4BED6966" w14:textId="28DA9222" w:rsidR="00D06B4D" w:rsidRPr="00241B57" w:rsidRDefault="00D06B4D" w:rsidP="00D06B4D">
      <w:pPr>
        <w:widowControl w:val="0"/>
        <w:spacing w:before="0" w:after="0"/>
        <w:rPr>
          <w:sz w:val="18"/>
        </w:rPr>
      </w:pPr>
      <w:r w:rsidRPr="00241B57">
        <w:rPr>
          <w:sz w:val="18"/>
        </w:rPr>
        <w:lastRenderedPageBreak/>
        <w:t xml:space="preserve">(Segue) </w:t>
      </w:r>
      <w:r w:rsidRPr="00241B57">
        <w:rPr>
          <w:i/>
          <w:iCs/>
          <w:sz w:val="18"/>
        </w:rPr>
        <w:t>Ta</w:t>
      </w:r>
      <w:r w:rsidR="00FD6A82" w:rsidRPr="00241B57">
        <w:rPr>
          <w:i/>
          <w:iCs/>
          <w:sz w:val="18"/>
        </w:rPr>
        <w:t>b</w:t>
      </w:r>
      <w:r w:rsidRPr="00241B57">
        <w:rPr>
          <w:i/>
          <w:iCs/>
          <w:sz w:val="18"/>
        </w:rPr>
        <w:t xml:space="preserve">. </w:t>
      </w:r>
      <w:r w:rsidR="00FD6A82" w:rsidRPr="00241B57">
        <w:rPr>
          <w:i/>
          <w:iCs/>
          <w:sz w:val="18"/>
        </w:rPr>
        <w:t>1</w:t>
      </w:r>
      <w:r w:rsidRPr="00241B57">
        <w:rPr>
          <w:i/>
          <w:iCs/>
          <w:sz w:val="18"/>
        </w:rPr>
        <w:t xml:space="preserve"> – Due fattori di tensione: una “medietà”* inadeguata delle prestazioni nella fase precedente la pandemia e un significativo blocco/rimando delle medesime per i pazienti non-Covid durante la pandemia (val. %)</w:t>
      </w:r>
      <w:r w:rsidR="00BA33BB" w:rsidRPr="00241B57">
        <w:rPr>
          <w:i/>
          <w:iCs/>
          <w:sz w:val="18"/>
        </w:rPr>
        <w:t xml:space="preserve"> </w:t>
      </w:r>
      <w:r w:rsidR="00BA33BB" w:rsidRPr="00241B57">
        <w:rPr>
          <w:sz w:val="18"/>
        </w:rPr>
        <w:t>(°)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91"/>
        <w:gridCol w:w="1187"/>
        <w:gridCol w:w="1187"/>
        <w:gridCol w:w="1187"/>
        <w:gridCol w:w="1187"/>
        <w:gridCol w:w="1184"/>
        <w:gridCol w:w="1181"/>
      </w:tblGrid>
      <w:tr w:rsidR="00D06B4D" w:rsidRPr="00241B57" w14:paraId="64B29B26" w14:textId="77777777" w:rsidTr="00B84E5C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F15D8C" w14:textId="77777777" w:rsidR="00D06B4D" w:rsidRPr="00241B57" w:rsidRDefault="00D06B4D" w:rsidP="00D06B4D">
            <w:pPr>
              <w:widowControl w:val="0"/>
              <w:spacing w:before="0" w:after="0"/>
              <w:rPr>
                <w:sz w:val="18"/>
              </w:rPr>
            </w:pPr>
            <w:r w:rsidRPr="00241B57">
              <w:rPr>
                <w:i/>
                <w:iCs/>
                <w:sz w:val="18"/>
              </w:rPr>
              <w:t>Fenomeni</w:t>
            </w:r>
          </w:p>
        </w:tc>
        <w:tc>
          <w:tcPr>
            <w:tcW w:w="226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9EA87D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Cs/>
                <w:i/>
                <w:iCs/>
                <w:kern w:val="2"/>
                <w:sz w:val="18"/>
                <w:szCs w:val="20"/>
              </w:rPr>
            </w:pPr>
            <w:r w:rsidRPr="00241B57">
              <w:rPr>
                <w:bCs/>
                <w:i/>
                <w:iCs/>
                <w:kern w:val="2"/>
                <w:sz w:val="18"/>
                <w:szCs w:val="20"/>
              </w:rPr>
              <w:t xml:space="preserve">Dati </w:t>
            </w:r>
          </w:p>
        </w:tc>
      </w:tr>
      <w:tr w:rsidR="00D06B4D" w:rsidRPr="00241B57" w14:paraId="41D3E19E" w14:textId="77777777" w:rsidTr="00B84E5C">
        <w:tc>
          <w:tcPr>
            <w:tcW w:w="2735" w:type="pct"/>
            <w:tcBorders>
              <w:top w:val="single" w:sz="4" w:space="0" w:color="auto"/>
            </w:tcBorders>
            <w:vAlign w:val="bottom"/>
          </w:tcPr>
          <w:p w14:paraId="32F6F58B" w14:textId="77777777" w:rsidR="00D06B4D" w:rsidRPr="00241B57" w:rsidRDefault="00D06B4D" w:rsidP="00D06B4D">
            <w:pPr>
              <w:widowControl w:val="0"/>
              <w:spacing w:before="0" w:after="0"/>
              <w:rPr>
                <w:i/>
                <w:iCs/>
                <w:sz w:val="18"/>
              </w:rPr>
            </w:pPr>
            <w:r w:rsidRPr="00241B57">
              <w:rPr>
                <w:sz w:val="18"/>
                <w:szCs w:val="20"/>
              </w:rPr>
              <w:t>SECONDO FENOMENO: UN BLOCCO/RIMANDO DELLE PRESTAZIONI OR</w:t>
            </w:r>
            <w:r w:rsidRPr="00241B57">
              <w:rPr>
                <w:sz w:val="18"/>
                <w:szCs w:val="20"/>
              </w:rPr>
              <w:softHyphen/>
              <w:t>DINARIE PER I PAZIENTI NON-COVID DURANTE LA PANDEMIA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</w:tcBorders>
          </w:tcPr>
          <w:p w14:paraId="4736AF2F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Cs/>
                <w:i/>
                <w:iCs/>
                <w:kern w:val="2"/>
                <w:sz w:val="18"/>
                <w:szCs w:val="20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auto"/>
            </w:tcBorders>
          </w:tcPr>
          <w:p w14:paraId="17EB882D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Cs/>
                <w:i/>
                <w:iCs/>
                <w:kern w:val="2"/>
                <w:sz w:val="18"/>
                <w:szCs w:val="20"/>
              </w:rPr>
            </w:pPr>
          </w:p>
        </w:tc>
      </w:tr>
      <w:tr w:rsidR="00D06B4D" w:rsidRPr="00241B57" w14:paraId="0CD81E1F" w14:textId="77777777" w:rsidTr="00B84E5C">
        <w:tc>
          <w:tcPr>
            <w:tcW w:w="2735" w:type="pct"/>
            <w:vAlign w:val="bottom"/>
          </w:tcPr>
          <w:p w14:paraId="788337DF" w14:textId="485BF0F6" w:rsidR="00D06B4D" w:rsidRPr="00241B57" w:rsidRDefault="00D06B4D" w:rsidP="00D06B4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0" w:after="0"/>
              <w:ind w:left="284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>Tipo di prestazioni ordinarie per cui si è subito un blocco/rimando delle relative liste di attesa, sia per malattie/interventi di tipo serio-grave come pure di tipo leg</w:t>
            </w:r>
            <w:r w:rsidRPr="00241B57">
              <w:rPr>
                <w:sz w:val="18"/>
                <w:szCs w:val="20"/>
              </w:rPr>
              <w:softHyphen/>
              <w:t>gero, secondo le dichiarazioni fornite dalla popolazione</w:t>
            </w:r>
            <w:r w:rsidR="00DC2A1F">
              <w:rPr>
                <w:sz w:val="18"/>
                <w:szCs w:val="20"/>
              </w:rPr>
              <w:t>:</w:t>
            </w:r>
          </w:p>
        </w:tc>
        <w:tc>
          <w:tcPr>
            <w:tcW w:w="1134" w:type="pct"/>
            <w:gridSpan w:val="3"/>
            <w:vAlign w:val="bottom"/>
          </w:tcPr>
          <w:p w14:paraId="5D035F2B" w14:textId="77777777" w:rsidR="00D06B4D" w:rsidRPr="00241B57" w:rsidRDefault="00D06B4D" w:rsidP="00D06B4D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rFonts w:cs="Calibri"/>
                <w:i/>
                <w:iCs/>
                <w:sz w:val="18"/>
              </w:rPr>
            </w:pPr>
          </w:p>
          <w:p w14:paraId="6566E9E2" w14:textId="77777777" w:rsidR="00D06B4D" w:rsidRPr="00241B57" w:rsidRDefault="00D06B4D" w:rsidP="00D06B4D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rFonts w:cs="Calibri"/>
                <w:i/>
                <w:iCs/>
                <w:sz w:val="18"/>
              </w:rPr>
            </w:pPr>
            <w:r w:rsidRPr="00241B57">
              <w:rPr>
                <w:rFonts w:cs="Calibri"/>
                <w:i/>
                <w:iCs/>
                <w:sz w:val="18"/>
              </w:rPr>
              <w:t>2020</w:t>
            </w:r>
          </w:p>
        </w:tc>
        <w:tc>
          <w:tcPr>
            <w:tcW w:w="1131" w:type="pct"/>
            <w:gridSpan w:val="3"/>
            <w:vAlign w:val="bottom"/>
          </w:tcPr>
          <w:p w14:paraId="38276735" w14:textId="77777777" w:rsidR="00D06B4D" w:rsidRPr="00241B57" w:rsidRDefault="00D06B4D" w:rsidP="00D06B4D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rFonts w:cs="Calibri"/>
                <w:i/>
                <w:iCs/>
                <w:sz w:val="18"/>
              </w:rPr>
            </w:pPr>
          </w:p>
          <w:p w14:paraId="5AAF2981" w14:textId="553EAEF5" w:rsidR="00D06B4D" w:rsidRPr="00241B57" w:rsidRDefault="00D06B4D" w:rsidP="00D06B4D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rFonts w:cs="Calibri"/>
                <w:i/>
                <w:iCs/>
                <w:sz w:val="18"/>
              </w:rPr>
            </w:pPr>
            <w:r w:rsidRPr="00241B57">
              <w:rPr>
                <w:rFonts w:cs="Calibri"/>
                <w:i/>
                <w:iCs/>
                <w:sz w:val="18"/>
              </w:rPr>
              <w:t>2021</w:t>
            </w:r>
          </w:p>
        </w:tc>
      </w:tr>
      <w:tr w:rsidR="00D06B4D" w:rsidRPr="00241B57" w14:paraId="567EC0F1" w14:textId="77777777" w:rsidTr="00B84E5C">
        <w:tc>
          <w:tcPr>
            <w:tcW w:w="2735" w:type="pct"/>
            <w:vAlign w:val="center"/>
          </w:tcPr>
          <w:p w14:paraId="5A084016" w14:textId="77777777" w:rsidR="00D06B4D" w:rsidRPr="00241B57" w:rsidRDefault="00D06B4D" w:rsidP="00D06B4D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 xml:space="preserve">Analisi di laboratorio </w:t>
            </w:r>
          </w:p>
        </w:tc>
        <w:tc>
          <w:tcPr>
            <w:tcW w:w="1134" w:type="pct"/>
            <w:gridSpan w:val="3"/>
            <w:vAlign w:val="center"/>
          </w:tcPr>
          <w:p w14:paraId="098F6802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Cs/>
                <w:i/>
                <w:iCs/>
                <w:kern w:val="2"/>
                <w:sz w:val="18"/>
                <w:szCs w:val="20"/>
              </w:rPr>
            </w:pPr>
            <w:r w:rsidRPr="00241B57">
              <w:rPr>
                <w:rFonts w:eastAsia="Times New Roman" w:cs="Times New Roman"/>
                <w:sz w:val="18"/>
                <w:szCs w:val="20"/>
              </w:rPr>
              <w:t>21,0</w:t>
            </w:r>
          </w:p>
        </w:tc>
        <w:tc>
          <w:tcPr>
            <w:tcW w:w="1131" w:type="pct"/>
            <w:gridSpan w:val="3"/>
            <w:vAlign w:val="bottom"/>
          </w:tcPr>
          <w:p w14:paraId="5D95CA4C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Cs/>
                <w:i/>
                <w:iCs/>
                <w:kern w:val="2"/>
                <w:sz w:val="18"/>
                <w:szCs w:val="20"/>
              </w:rPr>
            </w:pPr>
            <w:r w:rsidRPr="00241B57">
              <w:rPr>
                <w:rFonts w:eastAsia="Times New Roman" w:cs="Calibri"/>
                <w:sz w:val="18"/>
              </w:rPr>
              <w:t>21,3</w:t>
            </w:r>
          </w:p>
        </w:tc>
      </w:tr>
      <w:tr w:rsidR="00D06B4D" w:rsidRPr="00241B57" w14:paraId="3293CE9A" w14:textId="77777777" w:rsidTr="00B84E5C">
        <w:tc>
          <w:tcPr>
            <w:tcW w:w="2735" w:type="pct"/>
            <w:vAlign w:val="center"/>
          </w:tcPr>
          <w:p w14:paraId="57BCB6A4" w14:textId="77777777" w:rsidR="00D06B4D" w:rsidRPr="00241B57" w:rsidRDefault="00D06B4D" w:rsidP="00D06B4D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 xml:space="preserve">Accertamenti diagnostici (come RX, TAC, RM, ecc.) </w:t>
            </w:r>
          </w:p>
        </w:tc>
        <w:tc>
          <w:tcPr>
            <w:tcW w:w="1134" w:type="pct"/>
            <w:gridSpan w:val="3"/>
            <w:vAlign w:val="center"/>
          </w:tcPr>
          <w:p w14:paraId="7DB78A4A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Cs/>
                <w:i/>
                <w:iCs/>
                <w:kern w:val="2"/>
                <w:sz w:val="18"/>
                <w:szCs w:val="20"/>
              </w:rPr>
            </w:pPr>
            <w:r w:rsidRPr="00241B57">
              <w:rPr>
                <w:rFonts w:eastAsia="Times New Roman" w:cs="Times New Roman"/>
                <w:sz w:val="18"/>
                <w:szCs w:val="20"/>
              </w:rPr>
              <w:t>47,7</w:t>
            </w:r>
          </w:p>
        </w:tc>
        <w:tc>
          <w:tcPr>
            <w:tcW w:w="1131" w:type="pct"/>
            <w:gridSpan w:val="3"/>
            <w:vAlign w:val="bottom"/>
          </w:tcPr>
          <w:p w14:paraId="05413B7D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Cs/>
                <w:i/>
                <w:iCs/>
                <w:kern w:val="2"/>
                <w:sz w:val="18"/>
                <w:szCs w:val="20"/>
              </w:rPr>
            </w:pPr>
            <w:r w:rsidRPr="00241B57">
              <w:rPr>
                <w:rFonts w:eastAsia="Times New Roman" w:cs="Calibri"/>
                <w:sz w:val="18"/>
              </w:rPr>
              <w:t>36,0</w:t>
            </w:r>
          </w:p>
        </w:tc>
      </w:tr>
      <w:tr w:rsidR="00D06B4D" w:rsidRPr="00241B57" w14:paraId="170A0A9F" w14:textId="77777777" w:rsidTr="00B84E5C">
        <w:tc>
          <w:tcPr>
            <w:tcW w:w="2735" w:type="pct"/>
            <w:vAlign w:val="center"/>
          </w:tcPr>
          <w:p w14:paraId="6B69B984" w14:textId="77777777" w:rsidR="00D06B4D" w:rsidRPr="00241B57" w:rsidRDefault="00D06B4D" w:rsidP="00D06B4D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 xml:space="preserve">Visite specialistiche </w:t>
            </w:r>
          </w:p>
        </w:tc>
        <w:tc>
          <w:tcPr>
            <w:tcW w:w="1134" w:type="pct"/>
            <w:gridSpan w:val="3"/>
            <w:vAlign w:val="center"/>
          </w:tcPr>
          <w:p w14:paraId="51FEF969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Cs/>
                <w:i/>
                <w:iCs/>
                <w:kern w:val="2"/>
                <w:sz w:val="18"/>
                <w:szCs w:val="20"/>
              </w:rPr>
            </w:pPr>
            <w:r w:rsidRPr="00241B57">
              <w:rPr>
                <w:rFonts w:eastAsia="Times New Roman" w:cs="Times New Roman"/>
                <w:sz w:val="18"/>
                <w:szCs w:val="20"/>
              </w:rPr>
              <w:t>47,7</w:t>
            </w:r>
          </w:p>
        </w:tc>
        <w:tc>
          <w:tcPr>
            <w:tcW w:w="1131" w:type="pct"/>
            <w:gridSpan w:val="3"/>
            <w:vAlign w:val="bottom"/>
          </w:tcPr>
          <w:p w14:paraId="3DB2FFBF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Cs/>
                <w:i/>
                <w:iCs/>
                <w:kern w:val="2"/>
                <w:sz w:val="18"/>
                <w:szCs w:val="20"/>
              </w:rPr>
            </w:pPr>
            <w:r w:rsidRPr="00241B57">
              <w:rPr>
                <w:rFonts w:eastAsia="Times New Roman" w:cs="Calibri"/>
                <w:sz w:val="18"/>
              </w:rPr>
              <w:t>31,4</w:t>
            </w:r>
          </w:p>
        </w:tc>
      </w:tr>
      <w:tr w:rsidR="00D06B4D" w:rsidRPr="00241B57" w14:paraId="7F90BC13" w14:textId="77777777" w:rsidTr="00B84E5C">
        <w:tc>
          <w:tcPr>
            <w:tcW w:w="2735" w:type="pct"/>
            <w:vAlign w:val="center"/>
          </w:tcPr>
          <w:p w14:paraId="77462D21" w14:textId="77777777" w:rsidR="00D06B4D" w:rsidRPr="00241B57" w:rsidRDefault="00D06B4D" w:rsidP="00D06B4D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 xml:space="preserve">Accesso a terapie periodiche/controlli obbligatori </w:t>
            </w:r>
          </w:p>
        </w:tc>
        <w:tc>
          <w:tcPr>
            <w:tcW w:w="1134" w:type="pct"/>
            <w:gridSpan w:val="3"/>
            <w:vAlign w:val="center"/>
          </w:tcPr>
          <w:p w14:paraId="5A3E541B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Cs/>
                <w:i/>
                <w:iCs/>
                <w:kern w:val="2"/>
                <w:sz w:val="18"/>
                <w:szCs w:val="20"/>
              </w:rPr>
            </w:pPr>
            <w:r w:rsidRPr="00241B57">
              <w:rPr>
                <w:rFonts w:eastAsia="Times New Roman" w:cs="Times New Roman"/>
                <w:sz w:val="18"/>
                <w:szCs w:val="20"/>
              </w:rPr>
              <w:t>48,5</w:t>
            </w:r>
          </w:p>
        </w:tc>
        <w:tc>
          <w:tcPr>
            <w:tcW w:w="1131" w:type="pct"/>
            <w:gridSpan w:val="3"/>
            <w:vAlign w:val="bottom"/>
          </w:tcPr>
          <w:p w14:paraId="242D793C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Cs/>
                <w:i/>
                <w:iCs/>
                <w:kern w:val="2"/>
                <w:sz w:val="18"/>
                <w:szCs w:val="20"/>
              </w:rPr>
            </w:pPr>
            <w:r w:rsidRPr="00241B57">
              <w:rPr>
                <w:rFonts w:eastAsia="Times New Roman" w:cs="Calibri"/>
                <w:sz w:val="18"/>
              </w:rPr>
              <w:t>41,1</w:t>
            </w:r>
          </w:p>
        </w:tc>
      </w:tr>
      <w:tr w:rsidR="00D06B4D" w:rsidRPr="00241B57" w14:paraId="6B3051FC" w14:textId="77777777" w:rsidTr="00B84E5C">
        <w:tc>
          <w:tcPr>
            <w:tcW w:w="2735" w:type="pct"/>
            <w:vAlign w:val="center"/>
          </w:tcPr>
          <w:p w14:paraId="6E8C1777" w14:textId="77777777" w:rsidR="00D06B4D" w:rsidRPr="00241B57" w:rsidRDefault="00D06B4D" w:rsidP="00D06B4D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 xml:space="preserve">Prestazioni in day service (di tipo medico ambulatoriale) </w:t>
            </w:r>
          </w:p>
        </w:tc>
        <w:tc>
          <w:tcPr>
            <w:tcW w:w="1134" w:type="pct"/>
            <w:gridSpan w:val="3"/>
            <w:vAlign w:val="center"/>
          </w:tcPr>
          <w:p w14:paraId="0F6D2619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241B57">
              <w:rPr>
                <w:rFonts w:eastAsia="Times New Roman" w:cs="Times New Roman"/>
                <w:sz w:val="18"/>
                <w:szCs w:val="20"/>
              </w:rPr>
              <w:t>41,5</w:t>
            </w:r>
          </w:p>
        </w:tc>
        <w:tc>
          <w:tcPr>
            <w:tcW w:w="1131" w:type="pct"/>
            <w:gridSpan w:val="3"/>
            <w:vAlign w:val="bottom"/>
          </w:tcPr>
          <w:p w14:paraId="695B35EA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Cs/>
                <w:i/>
                <w:iCs/>
                <w:kern w:val="2"/>
                <w:sz w:val="18"/>
                <w:szCs w:val="20"/>
              </w:rPr>
            </w:pPr>
            <w:r w:rsidRPr="00241B57">
              <w:rPr>
                <w:rFonts w:eastAsia="Times New Roman" w:cs="Calibri"/>
                <w:sz w:val="18"/>
              </w:rPr>
              <w:t>38,5</w:t>
            </w:r>
          </w:p>
        </w:tc>
      </w:tr>
      <w:tr w:rsidR="00D06B4D" w:rsidRPr="00241B57" w14:paraId="5FFF0A91" w14:textId="77777777" w:rsidTr="00B84E5C">
        <w:tc>
          <w:tcPr>
            <w:tcW w:w="2735" w:type="pct"/>
            <w:vAlign w:val="center"/>
          </w:tcPr>
          <w:p w14:paraId="37C613AE" w14:textId="77777777" w:rsidR="00D06B4D" w:rsidRPr="00241B57" w:rsidRDefault="00D06B4D" w:rsidP="00D06B4D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>Prestazioni in day service (di tipo chirurgico ambulatoriale)</w:t>
            </w:r>
          </w:p>
        </w:tc>
        <w:tc>
          <w:tcPr>
            <w:tcW w:w="1134" w:type="pct"/>
            <w:gridSpan w:val="3"/>
            <w:vAlign w:val="center"/>
          </w:tcPr>
          <w:p w14:paraId="44EDB9AD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241B57">
              <w:rPr>
                <w:rFonts w:eastAsia="Times New Roman" w:cs="Times New Roman"/>
                <w:sz w:val="18"/>
                <w:szCs w:val="20"/>
              </w:rPr>
              <w:t>52,5</w:t>
            </w:r>
          </w:p>
        </w:tc>
        <w:tc>
          <w:tcPr>
            <w:tcW w:w="1131" w:type="pct"/>
            <w:gridSpan w:val="3"/>
            <w:vAlign w:val="bottom"/>
          </w:tcPr>
          <w:p w14:paraId="6EF8F5EA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Cs/>
                <w:i/>
                <w:iCs/>
                <w:kern w:val="2"/>
                <w:sz w:val="18"/>
                <w:szCs w:val="20"/>
              </w:rPr>
            </w:pPr>
            <w:r w:rsidRPr="00241B57">
              <w:rPr>
                <w:rFonts w:eastAsia="Times New Roman" w:cs="Calibri"/>
                <w:sz w:val="18"/>
              </w:rPr>
              <w:t>38,0</w:t>
            </w:r>
          </w:p>
        </w:tc>
      </w:tr>
      <w:tr w:rsidR="00D06B4D" w:rsidRPr="00241B57" w14:paraId="70DC6759" w14:textId="77777777" w:rsidTr="00B84E5C">
        <w:tc>
          <w:tcPr>
            <w:tcW w:w="2735" w:type="pct"/>
            <w:vAlign w:val="center"/>
          </w:tcPr>
          <w:p w14:paraId="5645408E" w14:textId="77777777" w:rsidR="00D06B4D" w:rsidRPr="00241B57" w:rsidRDefault="00D06B4D" w:rsidP="00D06B4D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 xml:space="preserve">Ricoveri per cure </w:t>
            </w:r>
          </w:p>
        </w:tc>
        <w:tc>
          <w:tcPr>
            <w:tcW w:w="1134" w:type="pct"/>
            <w:gridSpan w:val="3"/>
            <w:vAlign w:val="center"/>
          </w:tcPr>
          <w:p w14:paraId="39CA664C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241B57">
              <w:rPr>
                <w:rFonts w:eastAsia="Times New Roman" w:cs="Times New Roman"/>
                <w:sz w:val="18"/>
                <w:szCs w:val="20"/>
              </w:rPr>
              <w:t>44,4</w:t>
            </w:r>
          </w:p>
        </w:tc>
        <w:tc>
          <w:tcPr>
            <w:tcW w:w="1131" w:type="pct"/>
            <w:gridSpan w:val="3"/>
            <w:vAlign w:val="bottom"/>
          </w:tcPr>
          <w:p w14:paraId="24C33BDE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Cs/>
                <w:i/>
                <w:iCs/>
                <w:kern w:val="2"/>
                <w:sz w:val="18"/>
                <w:szCs w:val="20"/>
              </w:rPr>
            </w:pPr>
            <w:r w:rsidRPr="00241B57">
              <w:rPr>
                <w:rFonts w:eastAsia="Times New Roman" w:cs="Calibri"/>
                <w:sz w:val="18"/>
              </w:rPr>
              <w:t>46,1</w:t>
            </w:r>
          </w:p>
        </w:tc>
      </w:tr>
      <w:tr w:rsidR="00D06B4D" w:rsidRPr="00241B57" w14:paraId="67EB4FD1" w14:textId="77777777" w:rsidTr="00B84E5C">
        <w:tc>
          <w:tcPr>
            <w:tcW w:w="2735" w:type="pct"/>
            <w:vAlign w:val="center"/>
          </w:tcPr>
          <w:p w14:paraId="5275A7E8" w14:textId="77777777" w:rsidR="00D06B4D" w:rsidRPr="00241B57" w:rsidRDefault="00D06B4D" w:rsidP="00D06B4D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>Ricoveri per interventi chirurgici programmati</w:t>
            </w:r>
          </w:p>
        </w:tc>
        <w:tc>
          <w:tcPr>
            <w:tcW w:w="1134" w:type="pct"/>
            <w:gridSpan w:val="3"/>
            <w:vAlign w:val="center"/>
          </w:tcPr>
          <w:p w14:paraId="06B762C0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241B57">
              <w:rPr>
                <w:rFonts w:eastAsia="Times New Roman" w:cs="Times New Roman"/>
                <w:sz w:val="18"/>
                <w:szCs w:val="20"/>
              </w:rPr>
              <w:t>71,5</w:t>
            </w:r>
          </w:p>
        </w:tc>
        <w:tc>
          <w:tcPr>
            <w:tcW w:w="1131" w:type="pct"/>
            <w:gridSpan w:val="3"/>
            <w:vAlign w:val="bottom"/>
          </w:tcPr>
          <w:p w14:paraId="44540FB4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bCs/>
                <w:i/>
                <w:iCs/>
                <w:kern w:val="2"/>
                <w:sz w:val="18"/>
                <w:szCs w:val="20"/>
              </w:rPr>
            </w:pPr>
            <w:r w:rsidRPr="00241B57">
              <w:rPr>
                <w:rFonts w:eastAsia="Times New Roman" w:cs="Calibri"/>
                <w:sz w:val="18"/>
              </w:rPr>
              <w:t>54,6</w:t>
            </w:r>
          </w:p>
        </w:tc>
      </w:tr>
      <w:tr w:rsidR="00D06B4D" w:rsidRPr="00241B57" w14:paraId="43FAC1BA" w14:textId="77777777" w:rsidTr="00B84E5C">
        <w:trPr>
          <w:trHeight w:val="111"/>
        </w:trPr>
        <w:tc>
          <w:tcPr>
            <w:tcW w:w="2735" w:type="pct"/>
            <w:vMerge w:val="restart"/>
            <w:vAlign w:val="center"/>
          </w:tcPr>
          <w:p w14:paraId="4962068D" w14:textId="1AABB56E" w:rsidR="00D06B4D" w:rsidRPr="00241B57" w:rsidRDefault="00D06B4D" w:rsidP="00D06B4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0" w:after="0"/>
              <w:ind w:left="284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>Durata del blocco/rimando delle prestazioni ordinarie, secondo le dichiarazioni fornite dalla popolazione</w:t>
            </w:r>
            <w:r w:rsidR="00DC2A1F">
              <w:rPr>
                <w:sz w:val="18"/>
                <w:szCs w:val="20"/>
              </w:rPr>
              <w:t>:</w:t>
            </w:r>
          </w:p>
        </w:tc>
        <w:tc>
          <w:tcPr>
            <w:tcW w:w="756" w:type="pct"/>
            <w:gridSpan w:val="2"/>
            <w:vAlign w:val="center"/>
          </w:tcPr>
          <w:p w14:paraId="50A23234" w14:textId="77777777" w:rsidR="00D06B4D" w:rsidRPr="00241B57" w:rsidRDefault="00D06B4D" w:rsidP="00D06B4D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rFonts w:eastAsia="Times New Roman" w:cs="Times New Roman"/>
                <w:i/>
                <w:iCs/>
                <w:sz w:val="18"/>
                <w:szCs w:val="20"/>
              </w:rPr>
            </w:pPr>
            <w:r w:rsidRPr="00241B57">
              <w:rPr>
                <w:rFonts w:eastAsia="Times New Roman" w:cs="Times New Roman"/>
                <w:i/>
                <w:iCs/>
                <w:sz w:val="18"/>
                <w:szCs w:val="20"/>
              </w:rPr>
              <w:t>Fino a 2 mesi</w:t>
            </w:r>
          </w:p>
        </w:tc>
        <w:tc>
          <w:tcPr>
            <w:tcW w:w="756" w:type="pct"/>
            <w:gridSpan w:val="2"/>
            <w:vAlign w:val="center"/>
          </w:tcPr>
          <w:p w14:paraId="796CCCB4" w14:textId="77777777" w:rsidR="00D06B4D" w:rsidRPr="00241B57" w:rsidRDefault="00D06B4D" w:rsidP="00D06B4D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rFonts w:eastAsia="Times New Roman" w:cs="Calibri"/>
                <w:i/>
                <w:iCs/>
                <w:sz w:val="18"/>
              </w:rPr>
            </w:pPr>
            <w:r w:rsidRPr="00241B57">
              <w:rPr>
                <w:rFonts w:eastAsia="Times New Roman" w:cs="Times New Roman"/>
                <w:i/>
                <w:iCs/>
                <w:sz w:val="18"/>
                <w:szCs w:val="20"/>
              </w:rPr>
              <w:t>3-4 mesi</w:t>
            </w:r>
          </w:p>
        </w:tc>
        <w:tc>
          <w:tcPr>
            <w:tcW w:w="753" w:type="pct"/>
            <w:gridSpan w:val="2"/>
            <w:vAlign w:val="center"/>
          </w:tcPr>
          <w:p w14:paraId="5DF61119" w14:textId="77777777" w:rsidR="00D06B4D" w:rsidRPr="00241B57" w:rsidRDefault="00D06B4D" w:rsidP="00D06B4D">
            <w:pPr>
              <w:widowControl w:val="0"/>
              <w:pBdr>
                <w:bottom w:val="single" w:sz="4" w:space="1" w:color="auto"/>
              </w:pBdr>
              <w:autoSpaceDE w:val="0"/>
              <w:spacing w:before="0" w:after="0"/>
              <w:jc w:val="center"/>
              <w:rPr>
                <w:rFonts w:eastAsia="Times New Roman" w:cs="Calibri"/>
                <w:i/>
                <w:iCs/>
                <w:sz w:val="18"/>
              </w:rPr>
            </w:pPr>
            <w:r w:rsidRPr="00241B57">
              <w:rPr>
                <w:rFonts w:eastAsia="Times New Roman" w:cs="Times New Roman"/>
                <w:i/>
                <w:iCs/>
                <w:sz w:val="18"/>
                <w:szCs w:val="20"/>
              </w:rPr>
              <w:t>5-8 mesi e più</w:t>
            </w:r>
          </w:p>
        </w:tc>
      </w:tr>
      <w:tr w:rsidR="00D06B4D" w:rsidRPr="00241B57" w14:paraId="5798FB59" w14:textId="77777777" w:rsidTr="00B84E5C">
        <w:trPr>
          <w:trHeight w:val="110"/>
        </w:trPr>
        <w:tc>
          <w:tcPr>
            <w:tcW w:w="2735" w:type="pct"/>
            <w:vMerge/>
            <w:vAlign w:val="center"/>
          </w:tcPr>
          <w:p w14:paraId="05E6C7A7" w14:textId="77777777" w:rsidR="00D06B4D" w:rsidRPr="00241B57" w:rsidRDefault="00D06B4D" w:rsidP="00D06B4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0" w:after="0"/>
              <w:ind w:left="284" w:hanging="284"/>
              <w:rPr>
                <w:sz w:val="18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186054C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rFonts w:eastAsia="Times New Roman" w:cs="Times New Roman"/>
                <w:i/>
                <w:iCs/>
                <w:sz w:val="18"/>
                <w:szCs w:val="20"/>
              </w:rPr>
            </w:pPr>
            <w:r w:rsidRPr="00241B57">
              <w:rPr>
                <w:rFonts w:eastAsia="Times New Roman" w:cs="Times New Roman"/>
                <w:i/>
                <w:iCs/>
                <w:sz w:val="18"/>
                <w:szCs w:val="20"/>
              </w:rPr>
              <w:t>2020</w:t>
            </w:r>
          </w:p>
        </w:tc>
        <w:tc>
          <w:tcPr>
            <w:tcW w:w="378" w:type="pct"/>
            <w:vAlign w:val="center"/>
          </w:tcPr>
          <w:p w14:paraId="0D85EDDC" w14:textId="5D83266A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vertAlign w:val="superscript"/>
              </w:rPr>
            </w:pPr>
            <w:r w:rsidRPr="00241B57">
              <w:rPr>
                <w:rFonts w:eastAsia="Times New Roman" w:cs="Times New Roman"/>
                <w:i/>
                <w:iCs/>
                <w:sz w:val="18"/>
                <w:szCs w:val="20"/>
              </w:rPr>
              <w:t>2021</w:t>
            </w:r>
          </w:p>
        </w:tc>
        <w:tc>
          <w:tcPr>
            <w:tcW w:w="378" w:type="pct"/>
            <w:vAlign w:val="center"/>
          </w:tcPr>
          <w:p w14:paraId="6602BBB5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rFonts w:eastAsia="Times New Roman" w:cs="Times New Roman"/>
                <w:i/>
                <w:iCs/>
                <w:sz w:val="18"/>
                <w:szCs w:val="20"/>
              </w:rPr>
            </w:pPr>
            <w:r w:rsidRPr="00241B57">
              <w:rPr>
                <w:rFonts w:eastAsia="Times New Roman" w:cs="Times New Roman"/>
                <w:i/>
                <w:iCs/>
                <w:sz w:val="18"/>
                <w:szCs w:val="20"/>
              </w:rPr>
              <w:t>2020</w:t>
            </w:r>
          </w:p>
        </w:tc>
        <w:tc>
          <w:tcPr>
            <w:tcW w:w="378" w:type="pct"/>
            <w:vAlign w:val="center"/>
          </w:tcPr>
          <w:p w14:paraId="11E7E93C" w14:textId="0B65AB78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rFonts w:eastAsia="Times New Roman" w:cs="Times New Roman"/>
                <w:i/>
                <w:iCs/>
                <w:sz w:val="18"/>
                <w:szCs w:val="20"/>
              </w:rPr>
            </w:pPr>
            <w:r w:rsidRPr="00241B57">
              <w:rPr>
                <w:rFonts w:eastAsia="Times New Roman" w:cs="Times New Roman"/>
                <w:i/>
                <w:iCs/>
                <w:sz w:val="18"/>
                <w:szCs w:val="20"/>
              </w:rPr>
              <w:t>2021</w:t>
            </w:r>
          </w:p>
        </w:tc>
        <w:tc>
          <w:tcPr>
            <w:tcW w:w="377" w:type="pct"/>
            <w:vAlign w:val="center"/>
          </w:tcPr>
          <w:p w14:paraId="08EB4FC2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rFonts w:eastAsia="Times New Roman" w:cs="Times New Roman"/>
                <w:i/>
                <w:iCs/>
                <w:sz w:val="18"/>
                <w:szCs w:val="20"/>
              </w:rPr>
            </w:pPr>
            <w:r w:rsidRPr="00241B57">
              <w:rPr>
                <w:rFonts w:eastAsia="Times New Roman" w:cs="Times New Roman"/>
                <w:i/>
                <w:iCs/>
                <w:sz w:val="18"/>
                <w:szCs w:val="20"/>
              </w:rPr>
              <w:t>2020</w:t>
            </w:r>
          </w:p>
        </w:tc>
        <w:tc>
          <w:tcPr>
            <w:tcW w:w="376" w:type="pct"/>
            <w:vAlign w:val="center"/>
          </w:tcPr>
          <w:p w14:paraId="465F785A" w14:textId="566FD0D7" w:rsidR="00D06B4D" w:rsidRPr="00241B57" w:rsidRDefault="00D06B4D" w:rsidP="00D06B4D">
            <w:pPr>
              <w:widowControl w:val="0"/>
              <w:autoSpaceDE w:val="0"/>
              <w:spacing w:before="0" w:after="0"/>
              <w:jc w:val="center"/>
              <w:rPr>
                <w:rFonts w:eastAsia="Times New Roman" w:cs="Times New Roman"/>
                <w:i/>
                <w:iCs/>
                <w:sz w:val="18"/>
                <w:szCs w:val="20"/>
              </w:rPr>
            </w:pPr>
            <w:r w:rsidRPr="00241B57">
              <w:rPr>
                <w:rFonts w:eastAsia="Times New Roman" w:cs="Times New Roman"/>
                <w:i/>
                <w:iCs/>
                <w:sz w:val="18"/>
                <w:szCs w:val="20"/>
              </w:rPr>
              <w:t>2021</w:t>
            </w:r>
          </w:p>
        </w:tc>
      </w:tr>
      <w:tr w:rsidR="00D06B4D" w:rsidRPr="00241B57" w14:paraId="592AE003" w14:textId="77777777" w:rsidTr="00B84E5C">
        <w:tc>
          <w:tcPr>
            <w:tcW w:w="2735" w:type="pct"/>
            <w:vAlign w:val="center"/>
          </w:tcPr>
          <w:p w14:paraId="22EF5954" w14:textId="77777777" w:rsidR="00D06B4D" w:rsidRPr="00241B57" w:rsidRDefault="00D06B4D" w:rsidP="00D06B4D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 xml:space="preserve">Analisi di laboratorio </w:t>
            </w:r>
          </w:p>
        </w:tc>
        <w:tc>
          <w:tcPr>
            <w:tcW w:w="378" w:type="pct"/>
            <w:vAlign w:val="bottom"/>
          </w:tcPr>
          <w:p w14:paraId="5342B6BE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10,9</w:t>
            </w:r>
          </w:p>
        </w:tc>
        <w:tc>
          <w:tcPr>
            <w:tcW w:w="378" w:type="pct"/>
            <w:vAlign w:val="bottom"/>
          </w:tcPr>
          <w:p w14:paraId="41697EF3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14,7</w:t>
            </w:r>
          </w:p>
        </w:tc>
        <w:tc>
          <w:tcPr>
            <w:tcW w:w="378" w:type="pct"/>
            <w:vAlign w:val="bottom"/>
          </w:tcPr>
          <w:p w14:paraId="073807A6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5,4</w:t>
            </w:r>
          </w:p>
        </w:tc>
        <w:tc>
          <w:tcPr>
            <w:tcW w:w="378" w:type="pct"/>
            <w:vAlign w:val="bottom"/>
          </w:tcPr>
          <w:p w14:paraId="0B8A16D7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2,5</w:t>
            </w:r>
          </w:p>
        </w:tc>
        <w:tc>
          <w:tcPr>
            <w:tcW w:w="377" w:type="pct"/>
            <w:vAlign w:val="bottom"/>
          </w:tcPr>
          <w:p w14:paraId="4B9AFE09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4,7</w:t>
            </w:r>
          </w:p>
        </w:tc>
        <w:tc>
          <w:tcPr>
            <w:tcW w:w="376" w:type="pct"/>
            <w:vAlign w:val="bottom"/>
          </w:tcPr>
          <w:p w14:paraId="1410877F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4,1</w:t>
            </w:r>
          </w:p>
        </w:tc>
      </w:tr>
      <w:tr w:rsidR="00D06B4D" w:rsidRPr="00241B57" w14:paraId="72B81307" w14:textId="77777777" w:rsidTr="00B84E5C">
        <w:tc>
          <w:tcPr>
            <w:tcW w:w="2735" w:type="pct"/>
            <w:vAlign w:val="center"/>
          </w:tcPr>
          <w:p w14:paraId="5CE0BADD" w14:textId="77777777" w:rsidR="00D06B4D" w:rsidRPr="00241B57" w:rsidRDefault="00D06B4D" w:rsidP="00D06B4D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 xml:space="preserve">Accertamenti diagnostici (come RX, TAC, RM, ecc.) </w:t>
            </w:r>
          </w:p>
        </w:tc>
        <w:tc>
          <w:tcPr>
            <w:tcW w:w="378" w:type="pct"/>
            <w:vAlign w:val="bottom"/>
          </w:tcPr>
          <w:p w14:paraId="346DA014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15,7</w:t>
            </w:r>
          </w:p>
        </w:tc>
        <w:tc>
          <w:tcPr>
            <w:tcW w:w="378" w:type="pct"/>
            <w:vAlign w:val="bottom"/>
          </w:tcPr>
          <w:p w14:paraId="6CA2F967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20,6</w:t>
            </w:r>
          </w:p>
        </w:tc>
        <w:tc>
          <w:tcPr>
            <w:tcW w:w="378" w:type="pct"/>
            <w:vAlign w:val="bottom"/>
          </w:tcPr>
          <w:p w14:paraId="4346D1F7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15,2</w:t>
            </w:r>
          </w:p>
        </w:tc>
        <w:tc>
          <w:tcPr>
            <w:tcW w:w="378" w:type="pct"/>
            <w:vAlign w:val="bottom"/>
          </w:tcPr>
          <w:p w14:paraId="0EF1B9CA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5,0</w:t>
            </w:r>
          </w:p>
        </w:tc>
        <w:tc>
          <w:tcPr>
            <w:tcW w:w="377" w:type="pct"/>
            <w:vAlign w:val="bottom"/>
          </w:tcPr>
          <w:p w14:paraId="6A7131AD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16,8</w:t>
            </w:r>
          </w:p>
        </w:tc>
        <w:tc>
          <w:tcPr>
            <w:tcW w:w="376" w:type="pct"/>
            <w:vAlign w:val="bottom"/>
          </w:tcPr>
          <w:p w14:paraId="138BBC00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10,4</w:t>
            </w:r>
          </w:p>
        </w:tc>
      </w:tr>
      <w:tr w:rsidR="00D06B4D" w:rsidRPr="00241B57" w14:paraId="3FD2B9BE" w14:textId="77777777" w:rsidTr="00B84E5C">
        <w:tc>
          <w:tcPr>
            <w:tcW w:w="2735" w:type="pct"/>
            <w:vAlign w:val="center"/>
          </w:tcPr>
          <w:p w14:paraId="1ABEFB3E" w14:textId="77777777" w:rsidR="00D06B4D" w:rsidRPr="00241B57" w:rsidRDefault="00D06B4D" w:rsidP="00D06B4D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 xml:space="preserve">Visite specialistiche </w:t>
            </w:r>
          </w:p>
        </w:tc>
        <w:tc>
          <w:tcPr>
            <w:tcW w:w="378" w:type="pct"/>
            <w:vAlign w:val="bottom"/>
          </w:tcPr>
          <w:p w14:paraId="2BB92B34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15,4</w:t>
            </w:r>
          </w:p>
        </w:tc>
        <w:tc>
          <w:tcPr>
            <w:tcW w:w="378" w:type="pct"/>
            <w:vAlign w:val="bottom"/>
          </w:tcPr>
          <w:p w14:paraId="79BB2DC6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12,0</w:t>
            </w:r>
          </w:p>
        </w:tc>
        <w:tc>
          <w:tcPr>
            <w:tcW w:w="378" w:type="pct"/>
            <w:vAlign w:val="bottom"/>
          </w:tcPr>
          <w:p w14:paraId="1CD7F480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17,7</w:t>
            </w:r>
          </w:p>
        </w:tc>
        <w:tc>
          <w:tcPr>
            <w:tcW w:w="378" w:type="pct"/>
            <w:vAlign w:val="bottom"/>
          </w:tcPr>
          <w:p w14:paraId="23CB97D0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10,2</w:t>
            </w:r>
          </w:p>
        </w:tc>
        <w:tc>
          <w:tcPr>
            <w:tcW w:w="377" w:type="pct"/>
            <w:vAlign w:val="bottom"/>
          </w:tcPr>
          <w:p w14:paraId="548BBAB6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14,6</w:t>
            </w:r>
          </w:p>
        </w:tc>
        <w:tc>
          <w:tcPr>
            <w:tcW w:w="376" w:type="pct"/>
            <w:vAlign w:val="bottom"/>
          </w:tcPr>
          <w:p w14:paraId="0F86C225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9,2</w:t>
            </w:r>
          </w:p>
        </w:tc>
      </w:tr>
      <w:tr w:rsidR="00D06B4D" w:rsidRPr="00241B57" w14:paraId="284837FF" w14:textId="77777777" w:rsidTr="00B84E5C">
        <w:tc>
          <w:tcPr>
            <w:tcW w:w="2735" w:type="pct"/>
            <w:vAlign w:val="center"/>
          </w:tcPr>
          <w:p w14:paraId="122C7FA0" w14:textId="77777777" w:rsidR="00D06B4D" w:rsidRPr="00241B57" w:rsidRDefault="00D06B4D" w:rsidP="00D06B4D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 xml:space="preserve">Accesso a terapie periodiche/controlli obbligatori </w:t>
            </w:r>
          </w:p>
        </w:tc>
        <w:tc>
          <w:tcPr>
            <w:tcW w:w="378" w:type="pct"/>
            <w:vAlign w:val="bottom"/>
          </w:tcPr>
          <w:p w14:paraId="5028C92F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13,1</w:t>
            </w:r>
          </w:p>
        </w:tc>
        <w:tc>
          <w:tcPr>
            <w:tcW w:w="378" w:type="pct"/>
            <w:vAlign w:val="bottom"/>
          </w:tcPr>
          <w:p w14:paraId="47BAE26C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16,6</w:t>
            </w:r>
          </w:p>
        </w:tc>
        <w:tc>
          <w:tcPr>
            <w:tcW w:w="378" w:type="pct"/>
            <w:vAlign w:val="bottom"/>
          </w:tcPr>
          <w:p w14:paraId="678D149C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21,0</w:t>
            </w:r>
          </w:p>
        </w:tc>
        <w:tc>
          <w:tcPr>
            <w:tcW w:w="378" w:type="pct"/>
            <w:vAlign w:val="bottom"/>
          </w:tcPr>
          <w:p w14:paraId="2A5C9A89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15,3</w:t>
            </w:r>
          </w:p>
        </w:tc>
        <w:tc>
          <w:tcPr>
            <w:tcW w:w="377" w:type="pct"/>
            <w:vAlign w:val="bottom"/>
          </w:tcPr>
          <w:p w14:paraId="3DA148E5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14,4</w:t>
            </w:r>
          </w:p>
        </w:tc>
        <w:tc>
          <w:tcPr>
            <w:tcW w:w="376" w:type="pct"/>
            <w:vAlign w:val="bottom"/>
          </w:tcPr>
          <w:p w14:paraId="6F764BD6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9,2</w:t>
            </w:r>
          </w:p>
        </w:tc>
      </w:tr>
      <w:tr w:rsidR="00D06B4D" w:rsidRPr="00241B57" w14:paraId="3008D19A" w14:textId="77777777" w:rsidTr="00B84E5C">
        <w:tc>
          <w:tcPr>
            <w:tcW w:w="2735" w:type="pct"/>
            <w:vAlign w:val="center"/>
          </w:tcPr>
          <w:p w14:paraId="7598F0CC" w14:textId="77777777" w:rsidR="00D06B4D" w:rsidRPr="00241B57" w:rsidRDefault="00D06B4D" w:rsidP="00D06B4D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 xml:space="preserve">Prestazioni in day service (di tipo medico ambulatoriale) </w:t>
            </w:r>
          </w:p>
        </w:tc>
        <w:tc>
          <w:tcPr>
            <w:tcW w:w="378" w:type="pct"/>
            <w:vAlign w:val="bottom"/>
          </w:tcPr>
          <w:p w14:paraId="075AC709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13,4</w:t>
            </w:r>
          </w:p>
        </w:tc>
        <w:tc>
          <w:tcPr>
            <w:tcW w:w="378" w:type="pct"/>
            <w:vAlign w:val="bottom"/>
          </w:tcPr>
          <w:p w14:paraId="409260BD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10,5</w:t>
            </w:r>
          </w:p>
        </w:tc>
        <w:tc>
          <w:tcPr>
            <w:tcW w:w="378" w:type="pct"/>
            <w:vAlign w:val="bottom"/>
          </w:tcPr>
          <w:p w14:paraId="4A95FC8A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15,1</w:t>
            </w:r>
          </w:p>
        </w:tc>
        <w:tc>
          <w:tcPr>
            <w:tcW w:w="378" w:type="pct"/>
            <w:vAlign w:val="bottom"/>
          </w:tcPr>
          <w:p w14:paraId="770617B7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16,2</w:t>
            </w:r>
          </w:p>
        </w:tc>
        <w:tc>
          <w:tcPr>
            <w:tcW w:w="377" w:type="pct"/>
            <w:vAlign w:val="bottom"/>
          </w:tcPr>
          <w:p w14:paraId="3FC8C2AA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13,0</w:t>
            </w:r>
          </w:p>
        </w:tc>
        <w:tc>
          <w:tcPr>
            <w:tcW w:w="376" w:type="pct"/>
            <w:vAlign w:val="bottom"/>
          </w:tcPr>
          <w:p w14:paraId="13E0BEEA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11,8</w:t>
            </w:r>
          </w:p>
        </w:tc>
      </w:tr>
      <w:tr w:rsidR="00D06B4D" w:rsidRPr="00241B57" w14:paraId="08A0DA93" w14:textId="77777777" w:rsidTr="00B84E5C">
        <w:tc>
          <w:tcPr>
            <w:tcW w:w="2735" w:type="pct"/>
            <w:vAlign w:val="center"/>
          </w:tcPr>
          <w:p w14:paraId="5D5DDC6E" w14:textId="77777777" w:rsidR="00D06B4D" w:rsidRPr="00241B57" w:rsidRDefault="00D06B4D" w:rsidP="00D06B4D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>Prestazioni in day service (di tipo chirurgico ambulatoriale)</w:t>
            </w:r>
          </w:p>
        </w:tc>
        <w:tc>
          <w:tcPr>
            <w:tcW w:w="378" w:type="pct"/>
            <w:vAlign w:val="bottom"/>
          </w:tcPr>
          <w:p w14:paraId="74DE5FD8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12,9</w:t>
            </w:r>
          </w:p>
        </w:tc>
        <w:tc>
          <w:tcPr>
            <w:tcW w:w="378" w:type="pct"/>
            <w:vAlign w:val="bottom"/>
          </w:tcPr>
          <w:p w14:paraId="120FD34A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10,6</w:t>
            </w:r>
          </w:p>
        </w:tc>
        <w:tc>
          <w:tcPr>
            <w:tcW w:w="378" w:type="pct"/>
            <w:vAlign w:val="bottom"/>
          </w:tcPr>
          <w:p w14:paraId="04296E11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14,6</w:t>
            </w:r>
          </w:p>
        </w:tc>
        <w:tc>
          <w:tcPr>
            <w:tcW w:w="378" w:type="pct"/>
            <w:vAlign w:val="bottom"/>
          </w:tcPr>
          <w:p w14:paraId="44702DC9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11,1</w:t>
            </w:r>
          </w:p>
        </w:tc>
        <w:tc>
          <w:tcPr>
            <w:tcW w:w="377" w:type="pct"/>
            <w:vAlign w:val="bottom"/>
          </w:tcPr>
          <w:p w14:paraId="1E9946EC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25,0</w:t>
            </w:r>
          </w:p>
        </w:tc>
        <w:tc>
          <w:tcPr>
            <w:tcW w:w="376" w:type="pct"/>
            <w:vAlign w:val="bottom"/>
          </w:tcPr>
          <w:p w14:paraId="79428979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16,3</w:t>
            </w:r>
          </w:p>
        </w:tc>
      </w:tr>
      <w:tr w:rsidR="00D06B4D" w:rsidRPr="00241B57" w14:paraId="40A09C19" w14:textId="77777777" w:rsidTr="00B84E5C">
        <w:tc>
          <w:tcPr>
            <w:tcW w:w="2735" w:type="pct"/>
            <w:vAlign w:val="center"/>
          </w:tcPr>
          <w:p w14:paraId="1DEDF75F" w14:textId="77777777" w:rsidR="00D06B4D" w:rsidRPr="00241B57" w:rsidRDefault="00D06B4D" w:rsidP="00D06B4D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 xml:space="preserve">Ricoveri per cure </w:t>
            </w:r>
          </w:p>
        </w:tc>
        <w:tc>
          <w:tcPr>
            <w:tcW w:w="378" w:type="pct"/>
            <w:vAlign w:val="bottom"/>
          </w:tcPr>
          <w:p w14:paraId="4D37B34E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17,0</w:t>
            </w:r>
          </w:p>
        </w:tc>
        <w:tc>
          <w:tcPr>
            <w:tcW w:w="378" w:type="pct"/>
            <w:vAlign w:val="bottom"/>
          </w:tcPr>
          <w:p w14:paraId="6CE68F39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8,8</w:t>
            </w:r>
          </w:p>
        </w:tc>
        <w:tc>
          <w:tcPr>
            <w:tcW w:w="378" w:type="pct"/>
            <w:vAlign w:val="bottom"/>
          </w:tcPr>
          <w:p w14:paraId="64118061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10,7</w:t>
            </w:r>
          </w:p>
        </w:tc>
        <w:tc>
          <w:tcPr>
            <w:tcW w:w="378" w:type="pct"/>
            <w:vAlign w:val="bottom"/>
          </w:tcPr>
          <w:p w14:paraId="0E77010D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23,9</w:t>
            </w:r>
          </w:p>
        </w:tc>
        <w:tc>
          <w:tcPr>
            <w:tcW w:w="377" w:type="pct"/>
            <w:vAlign w:val="bottom"/>
          </w:tcPr>
          <w:p w14:paraId="06701436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16,7</w:t>
            </w:r>
          </w:p>
        </w:tc>
        <w:tc>
          <w:tcPr>
            <w:tcW w:w="376" w:type="pct"/>
            <w:vAlign w:val="bottom"/>
          </w:tcPr>
          <w:p w14:paraId="14C40FD8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13,4</w:t>
            </w:r>
          </w:p>
        </w:tc>
      </w:tr>
      <w:tr w:rsidR="00D06B4D" w:rsidRPr="00241B57" w14:paraId="023A75F7" w14:textId="77777777" w:rsidTr="00B84E5C">
        <w:tc>
          <w:tcPr>
            <w:tcW w:w="2735" w:type="pct"/>
            <w:tcBorders>
              <w:bottom w:val="single" w:sz="4" w:space="0" w:color="auto"/>
            </w:tcBorders>
            <w:vAlign w:val="center"/>
          </w:tcPr>
          <w:p w14:paraId="6C91419F" w14:textId="77777777" w:rsidR="00D06B4D" w:rsidRPr="00241B57" w:rsidRDefault="00D06B4D" w:rsidP="00D06B4D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568" w:hanging="284"/>
              <w:rPr>
                <w:sz w:val="18"/>
                <w:szCs w:val="20"/>
              </w:rPr>
            </w:pPr>
            <w:r w:rsidRPr="00241B57">
              <w:rPr>
                <w:sz w:val="18"/>
                <w:szCs w:val="20"/>
              </w:rPr>
              <w:t>Ricoveri per interventi chirurgici programmati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bottom"/>
          </w:tcPr>
          <w:p w14:paraId="1B8F6919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37,6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bottom"/>
          </w:tcPr>
          <w:p w14:paraId="67BFB321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24,6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bottom"/>
          </w:tcPr>
          <w:p w14:paraId="4047EB08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4,3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bottom"/>
          </w:tcPr>
          <w:p w14:paraId="221056EB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14,4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14:paraId="67E33402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29,6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bottom"/>
          </w:tcPr>
          <w:p w14:paraId="124F2B3D" w14:textId="77777777" w:rsidR="00D06B4D" w:rsidRPr="00241B57" w:rsidRDefault="00D06B4D" w:rsidP="00D06B4D">
            <w:pPr>
              <w:widowControl w:val="0"/>
              <w:autoSpaceDE w:val="0"/>
              <w:spacing w:before="0" w:after="0"/>
              <w:ind w:right="170"/>
              <w:jc w:val="right"/>
              <w:rPr>
                <w:rFonts w:eastAsia="Times New Roman" w:cs="Calibri"/>
                <w:sz w:val="18"/>
              </w:rPr>
            </w:pPr>
            <w:r w:rsidRPr="00241B57">
              <w:rPr>
                <w:rFonts w:eastAsia="Times New Roman" w:cs="Calibri"/>
                <w:sz w:val="18"/>
              </w:rPr>
              <w:t>15,6</w:t>
            </w:r>
          </w:p>
        </w:tc>
      </w:tr>
    </w:tbl>
    <w:p w14:paraId="5BE0FBFA" w14:textId="400A1145" w:rsidR="00BA54D7" w:rsidRPr="00241B57" w:rsidRDefault="00BA54D7" w:rsidP="00D06B4D">
      <w:pPr>
        <w:widowControl w:val="0"/>
        <w:tabs>
          <w:tab w:val="left" w:pos="8768"/>
        </w:tabs>
        <w:spacing w:before="0" w:after="0"/>
        <w:ind w:left="284" w:hanging="284"/>
        <w:rPr>
          <w:sz w:val="18"/>
        </w:rPr>
      </w:pPr>
      <w:r w:rsidRPr="00241B57">
        <w:rPr>
          <w:sz w:val="18"/>
        </w:rPr>
        <w:t>(°)</w:t>
      </w:r>
      <w:r w:rsidRPr="00241B57">
        <w:rPr>
          <w:sz w:val="18"/>
        </w:rPr>
        <w:tab/>
        <w:t>Cfr. Rapporto “Ospedali &amp; Salute/2021”, Parte prima/Tavola 6.</w:t>
      </w:r>
    </w:p>
    <w:p w14:paraId="612F80A2" w14:textId="77777777" w:rsidR="00BA54D7" w:rsidRPr="00241B57" w:rsidRDefault="00BA54D7" w:rsidP="00D06B4D">
      <w:pPr>
        <w:widowControl w:val="0"/>
        <w:tabs>
          <w:tab w:val="left" w:pos="8768"/>
        </w:tabs>
        <w:spacing w:before="0" w:after="0"/>
        <w:ind w:left="284" w:hanging="284"/>
        <w:rPr>
          <w:sz w:val="18"/>
        </w:rPr>
      </w:pPr>
      <w:r w:rsidRPr="00241B57">
        <w:rPr>
          <w:sz w:val="18"/>
        </w:rPr>
        <w:t xml:space="preserve">(*) </w:t>
      </w:r>
      <w:r w:rsidRPr="00241B57">
        <w:rPr>
          <w:sz w:val="18"/>
        </w:rPr>
        <w:tab/>
        <w:t>Per “medietà” si intende la capacità dei servizi di offrire un livello mediamente accettabile delle prestazioni, per quantità e per qualità, ma anche con una diffu</w:t>
      </w:r>
      <w:r w:rsidRPr="00241B57">
        <w:rPr>
          <w:sz w:val="18"/>
        </w:rPr>
        <w:softHyphen/>
        <w:t>sione adeguata nei diversi territori del Paese e all’interno di questi ultimi.</w:t>
      </w:r>
    </w:p>
    <w:p w14:paraId="42DEC4E8" w14:textId="7CD702C7" w:rsidR="000875E6" w:rsidRPr="00241B57" w:rsidRDefault="000875E6" w:rsidP="00AB385E">
      <w:pPr>
        <w:spacing w:before="0" w:after="0"/>
        <w:rPr>
          <w:sz w:val="18"/>
        </w:rPr>
      </w:pPr>
    </w:p>
    <w:p w14:paraId="5F928C6B" w14:textId="2D7E435E" w:rsidR="003D75BA" w:rsidRDefault="003D75BA">
      <w:pPr>
        <w:spacing w:before="0" w:after="160" w:line="259" w:lineRule="auto"/>
        <w:jc w:val="left"/>
        <w:rPr>
          <w:sz w:val="18"/>
        </w:rPr>
      </w:pPr>
      <w:r>
        <w:rPr>
          <w:sz w:val="18"/>
        </w:rPr>
        <w:br w:type="page"/>
      </w:r>
    </w:p>
    <w:p w14:paraId="6042E741" w14:textId="4EB8FF32" w:rsidR="003D75BA" w:rsidRPr="003D75BA" w:rsidRDefault="003D75BA" w:rsidP="003D75BA">
      <w:pPr>
        <w:widowControl w:val="0"/>
        <w:spacing w:before="0" w:after="0"/>
        <w:rPr>
          <w:i/>
          <w:iCs/>
          <w:sz w:val="18"/>
        </w:rPr>
      </w:pPr>
      <w:r w:rsidRPr="003D75BA">
        <w:rPr>
          <w:i/>
          <w:iCs/>
          <w:sz w:val="18"/>
        </w:rPr>
        <w:lastRenderedPageBreak/>
        <w:t>Ta</w:t>
      </w:r>
      <w:r w:rsidR="00B6132F">
        <w:rPr>
          <w:i/>
          <w:iCs/>
          <w:sz w:val="18"/>
        </w:rPr>
        <w:t>b</w:t>
      </w:r>
      <w:r w:rsidRPr="003D75BA">
        <w:rPr>
          <w:i/>
          <w:iCs/>
          <w:sz w:val="18"/>
        </w:rPr>
        <w:t xml:space="preserve">. </w:t>
      </w:r>
      <w:r w:rsidR="00B6132F">
        <w:rPr>
          <w:i/>
          <w:iCs/>
          <w:sz w:val="18"/>
        </w:rPr>
        <w:t>2</w:t>
      </w:r>
      <w:r w:rsidRPr="003D75BA">
        <w:rPr>
          <w:i/>
          <w:iCs/>
          <w:sz w:val="18"/>
        </w:rPr>
        <w:t xml:space="preserve"> – La pandemia ha “segnato” significativamente i contagiati, ma ha anche sovraccaricato il Servizio Sanitario Regionale per le relative cure erogate, a cui si è aggiunta una domanda più che consistente di prestazioni ordinarie da parte degli stessi contagiati (val. %)</w:t>
      </w:r>
    </w:p>
    <w:tbl>
      <w:tblPr>
        <w:tblStyle w:val="Grigliatabella"/>
        <w:tblW w:w="13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17"/>
        <w:gridCol w:w="25"/>
        <w:gridCol w:w="1134"/>
        <w:gridCol w:w="276"/>
        <w:gridCol w:w="87"/>
        <w:gridCol w:w="1338"/>
        <w:gridCol w:w="12"/>
        <w:gridCol w:w="736"/>
        <w:gridCol w:w="731"/>
        <w:gridCol w:w="22"/>
      </w:tblGrid>
      <w:tr w:rsidR="00B6132F" w:rsidRPr="003D75BA" w14:paraId="266832E5" w14:textId="77777777" w:rsidTr="003412DE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01AE848E" w14:textId="77777777" w:rsidR="00B6132F" w:rsidRPr="003D75BA" w:rsidRDefault="00B6132F" w:rsidP="003D75BA">
            <w:pPr>
              <w:widowControl w:val="0"/>
              <w:spacing w:before="0" w:after="0"/>
              <w:rPr>
                <w:i/>
                <w:iCs/>
                <w:sz w:val="18"/>
              </w:rPr>
            </w:pPr>
            <w:r w:rsidRPr="003D75BA">
              <w:rPr>
                <w:i/>
                <w:iCs/>
                <w:sz w:val="18"/>
              </w:rPr>
              <w:t>Fenomeni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C7D82F" w14:textId="77777777" w:rsidR="00B6132F" w:rsidRPr="003D75BA" w:rsidRDefault="00B6132F" w:rsidP="003D75BA">
            <w:pPr>
              <w:widowControl w:val="0"/>
              <w:spacing w:before="0" w:after="0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43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1FEA32" w14:textId="15B55D45" w:rsidR="00B6132F" w:rsidRPr="003D75BA" w:rsidRDefault="00B6132F" w:rsidP="003D75BA">
            <w:pPr>
              <w:widowControl w:val="0"/>
              <w:spacing w:before="0" w:after="0"/>
              <w:jc w:val="center"/>
              <w:rPr>
                <w:i/>
                <w:iCs/>
                <w:sz w:val="18"/>
              </w:rPr>
            </w:pPr>
            <w:r w:rsidRPr="003D75BA">
              <w:rPr>
                <w:i/>
                <w:iCs/>
                <w:sz w:val="18"/>
              </w:rPr>
              <w:t>Dati</w:t>
            </w:r>
          </w:p>
        </w:tc>
      </w:tr>
      <w:tr w:rsidR="00B6132F" w:rsidRPr="003D75BA" w14:paraId="4E1BDD0D" w14:textId="77777777" w:rsidTr="003412DE">
        <w:tc>
          <w:tcPr>
            <w:tcW w:w="7230" w:type="dxa"/>
            <w:tcBorders>
              <w:top w:val="single" w:sz="4" w:space="0" w:color="auto"/>
            </w:tcBorders>
          </w:tcPr>
          <w:p w14:paraId="0675448D" w14:textId="1E395059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  <w:r w:rsidRPr="003D75BA">
              <w:rPr>
                <w:i/>
                <w:iCs/>
                <w:sz w:val="18"/>
              </w:rPr>
              <w:t>L’esperienza impegnativa del contagio nelle opinioni degli intervistati</w:t>
            </w:r>
            <w:r w:rsidRPr="003D75BA">
              <w:rPr>
                <w:sz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2BA9E93C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</w:tcBorders>
          </w:tcPr>
          <w:p w14:paraId="5BD38207" w14:textId="32BD852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5C303835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</w:tcBorders>
          </w:tcPr>
          <w:p w14:paraId="40E93826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</w:tr>
      <w:tr w:rsidR="00B6132F" w:rsidRPr="003D75BA" w14:paraId="671945C4" w14:textId="77777777" w:rsidTr="003412DE">
        <w:tc>
          <w:tcPr>
            <w:tcW w:w="7230" w:type="dxa"/>
          </w:tcPr>
          <w:p w14:paraId="1DFC0DFF" w14:textId="77777777" w:rsidR="00B6132F" w:rsidRPr="003D75BA" w:rsidRDefault="00B6132F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>È stata un’esperienza “molto + abbastanza pesante”</w:t>
            </w:r>
          </w:p>
        </w:tc>
        <w:tc>
          <w:tcPr>
            <w:tcW w:w="1842" w:type="dxa"/>
            <w:gridSpan w:val="2"/>
          </w:tcPr>
          <w:p w14:paraId="3C69190E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69B1B40B" w14:textId="306561E3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338" w:type="dxa"/>
          </w:tcPr>
          <w:p w14:paraId="615503FA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158682F0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  <w:r w:rsidRPr="003D75BA">
              <w:rPr>
                <w:sz w:val="18"/>
              </w:rPr>
              <w:t>63,2</w:t>
            </w:r>
          </w:p>
        </w:tc>
        <w:tc>
          <w:tcPr>
            <w:tcW w:w="753" w:type="dxa"/>
            <w:gridSpan w:val="2"/>
            <w:vAlign w:val="center"/>
          </w:tcPr>
          <w:p w14:paraId="6459E0FD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</w:tr>
      <w:tr w:rsidR="00B6132F" w:rsidRPr="003D75BA" w14:paraId="03E04C20" w14:textId="77777777" w:rsidTr="003412DE">
        <w:tc>
          <w:tcPr>
            <w:tcW w:w="7230" w:type="dxa"/>
          </w:tcPr>
          <w:p w14:paraId="4F9653B5" w14:textId="77777777" w:rsidR="00B6132F" w:rsidRPr="003D75BA" w:rsidRDefault="00B6132F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>È stata un’esperienza “molto + abbastanza lunga”</w:t>
            </w:r>
          </w:p>
        </w:tc>
        <w:tc>
          <w:tcPr>
            <w:tcW w:w="1842" w:type="dxa"/>
            <w:gridSpan w:val="2"/>
          </w:tcPr>
          <w:p w14:paraId="56752A65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551628FC" w14:textId="26F314E4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338" w:type="dxa"/>
          </w:tcPr>
          <w:p w14:paraId="4E2F2A68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027AAFFA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  <w:r w:rsidRPr="003D75BA">
              <w:rPr>
                <w:sz w:val="18"/>
              </w:rPr>
              <w:t>65,6</w:t>
            </w:r>
          </w:p>
        </w:tc>
        <w:tc>
          <w:tcPr>
            <w:tcW w:w="753" w:type="dxa"/>
            <w:gridSpan w:val="2"/>
            <w:vAlign w:val="center"/>
          </w:tcPr>
          <w:p w14:paraId="37BDB548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</w:tr>
      <w:tr w:rsidR="00B6132F" w:rsidRPr="003D75BA" w14:paraId="3F001E39" w14:textId="77777777" w:rsidTr="003412DE">
        <w:tc>
          <w:tcPr>
            <w:tcW w:w="7230" w:type="dxa"/>
          </w:tcPr>
          <w:p w14:paraId="4ED51E3F" w14:textId="77777777" w:rsidR="00B6132F" w:rsidRPr="003D75BA" w:rsidRDefault="00B6132F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>Ma avendo avuto un’esperienza “molto + abbastanza pesante”, si è avuta contempora</w:t>
            </w:r>
            <w:r w:rsidRPr="003D75BA">
              <w:rPr>
                <w:sz w:val="18"/>
              </w:rPr>
              <w:softHyphen/>
              <w:t>neamente un’esperienza “molto + abbastanza lunga” in quasi 9 casi su 10</w:t>
            </w:r>
          </w:p>
        </w:tc>
        <w:tc>
          <w:tcPr>
            <w:tcW w:w="1842" w:type="dxa"/>
            <w:gridSpan w:val="2"/>
          </w:tcPr>
          <w:p w14:paraId="5606BE4E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60F640AF" w14:textId="67E84E0A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338" w:type="dxa"/>
          </w:tcPr>
          <w:p w14:paraId="621C65B2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76763B9F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  <w:r w:rsidRPr="003D75BA">
              <w:rPr>
                <w:sz w:val="18"/>
              </w:rPr>
              <w:t>87,8</w:t>
            </w:r>
          </w:p>
        </w:tc>
        <w:tc>
          <w:tcPr>
            <w:tcW w:w="753" w:type="dxa"/>
            <w:gridSpan w:val="2"/>
            <w:vAlign w:val="center"/>
          </w:tcPr>
          <w:p w14:paraId="30DA3A6C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</w:tr>
      <w:tr w:rsidR="00B6132F" w:rsidRPr="003D75BA" w14:paraId="7FC2BED5" w14:textId="77777777" w:rsidTr="003412DE">
        <w:tc>
          <w:tcPr>
            <w:tcW w:w="7230" w:type="dxa"/>
            <w:tcBorders>
              <w:bottom w:val="single" w:sz="4" w:space="0" w:color="auto"/>
            </w:tcBorders>
          </w:tcPr>
          <w:p w14:paraId="02943426" w14:textId="77777777" w:rsidR="00B6132F" w:rsidRPr="003D75BA" w:rsidRDefault="00B6132F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>E avendo avuto invece un’esperienza “abbastanza e/o del tutto leggera”, si è avuta contemporaneamente un’esperienza “molto + abbastanza lunga” in più di 1 caso su 4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635D8E3A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497" w:type="dxa"/>
            <w:gridSpan w:val="3"/>
            <w:tcBorders>
              <w:bottom w:val="single" w:sz="4" w:space="0" w:color="auto"/>
            </w:tcBorders>
            <w:vAlign w:val="center"/>
          </w:tcPr>
          <w:p w14:paraId="0AA13534" w14:textId="5BBFAD05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582C37D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vAlign w:val="center"/>
          </w:tcPr>
          <w:p w14:paraId="64927AB3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  <w:r w:rsidRPr="003D75BA">
              <w:rPr>
                <w:sz w:val="18"/>
              </w:rPr>
              <w:t>27,6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vAlign w:val="center"/>
          </w:tcPr>
          <w:p w14:paraId="627A0FF3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</w:tr>
      <w:tr w:rsidR="00B6132F" w:rsidRPr="003D75BA" w14:paraId="62C22B8C" w14:textId="77777777" w:rsidTr="003412DE">
        <w:tc>
          <w:tcPr>
            <w:tcW w:w="7230" w:type="dxa"/>
            <w:tcBorders>
              <w:top w:val="single" w:sz="4" w:space="0" w:color="auto"/>
            </w:tcBorders>
          </w:tcPr>
          <w:p w14:paraId="6D1FDE3F" w14:textId="17CC2D97" w:rsidR="00B6132F" w:rsidRPr="003D75BA" w:rsidRDefault="00B6132F" w:rsidP="003D75BA">
            <w:pPr>
              <w:widowControl w:val="0"/>
              <w:spacing w:before="0" w:after="0"/>
              <w:rPr>
                <w:i/>
                <w:iCs/>
                <w:sz w:val="18"/>
              </w:rPr>
            </w:pPr>
            <w:r w:rsidRPr="003D75BA">
              <w:rPr>
                <w:i/>
                <w:iCs/>
                <w:sz w:val="18"/>
              </w:rPr>
              <w:t>L’esperienza, altrettanto impegnativa sul piano delle conseguenze del contagio (long Covid) nelle opinioni degli intervistati</w:t>
            </w:r>
            <w:r w:rsidRPr="003D75BA">
              <w:rPr>
                <w:sz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3069D28C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</w:tcBorders>
          </w:tcPr>
          <w:p w14:paraId="7A9E143D" w14:textId="1726391D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1D7B6405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  <w:vAlign w:val="center"/>
          </w:tcPr>
          <w:p w14:paraId="21B8D109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  <w:vAlign w:val="center"/>
          </w:tcPr>
          <w:p w14:paraId="4A38091B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</w:tr>
      <w:tr w:rsidR="00B6132F" w:rsidRPr="003D75BA" w14:paraId="48A7144F" w14:textId="77777777" w:rsidTr="003412DE">
        <w:tc>
          <w:tcPr>
            <w:tcW w:w="7230" w:type="dxa"/>
          </w:tcPr>
          <w:p w14:paraId="4E0D726D" w14:textId="77777777" w:rsidR="00B6132F" w:rsidRPr="003D75BA" w:rsidRDefault="00B6132F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>Si sono avute delle conseguenze “molto + abbastanza serie”</w:t>
            </w:r>
          </w:p>
        </w:tc>
        <w:tc>
          <w:tcPr>
            <w:tcW w:w="1842" w:type="dxa"/>
            <w:gridSpan w:val="2"/>
          </w:tcPr>
          <w:p w14:paraId="48F619A5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74EB8DE5" w14:textId="66BF037F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338" w:type="dxa"/>
          </w:tcPr>
          <w:p w14:paraId="0BAF8347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674C02A6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  <w:r w:rsidRPr="003D75BA">
              <w:rPr>
                <w:sz w:val="18"/>
              </w:rPr>
              <w:t>18,9</w:t>
            </w:r>
          </w:p>
        </w:tc>
        <w:tc>
          <w:tcPr>
            <w:tcW w:w="753" w:type="dxa"/>
            <w:gridSpan w:val="2"/>
            <w:vMerge w:val="restart"/>
            <w:vAlign w:val="center"/>
          </w:tcPr>
          <w:p w14:paraId="6A0E7B8F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  <w:r w:rsidRPr="003D75BA">
              <w:rPr>
                <w:sz w:val="18"/>
              </w:rPr>
              <w:sym w:font="Symbol" w:char="F07D"/>
            </w:r>
            <w:r w:rsidRPr="003D75BA">
              <w:rPr>
                <w:sz w:val="18"/>
              </w:rPr>
              <w:t xml:space="preserve">  56,2</w:t>
            </w:r>
          </w:p>
        </w:tc>
      </w:tr>
      <w:tr w:rsidR="00B6132F" w:rsidRPr="003D75BA" w14:paraId="6613D2C2" w14:textId="77777777" w:rsidTr="003412DE">
        <w:tc>
          <w:tcPr>
            <w:tcW w:w="7230" w:type="dxa"/>
          </w:tcPr>
          <w:p w14:paraId="4CC3021A" w14:textId="77777777" w:rsidR="00B6132F" w:rsidRPr="003D75BA" w:rsidRDefault="00B6132F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>Si sono avute delle conseguenze “leggere + molto leggere”</w:t>
            </w:r>
          </w:p>
        </w:tc>
        <w:tc>
          <w:tcPr>
            <w:tcW w:w="1842" w:type="dxa"/>
            <w:gridSpan w:val="2"/>
          </w:tcPr>
          <w:p w14:paraId="2C37F37E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70346C65" w14:textId="2442A81C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338" w:type="dxa"/>
          </w:tcPr>
          <w:p w14:paraId="262F4D70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7FBA8724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  <w:r w:rsidRPr="003D75BA">
              <w:rPr>
                <w:sz w:val="18"/>
              </w:rPr>
              <w:t>37,3</w:t>
            </w:r>
          </w:p>
        </w:tc>
        <w:tc>
          <w:tcPr>
            <w:tcW w:w="753" w:type="dxa"/>
            <w:gridSpan w:val="2"/>
            <w:vMerge/>
            <w:vAlign w:val="center"/>
          </w:tcPr>
          <w:p w14:paraId="31DF7EE5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</w:tr>
      <w:tr w:rsidR="00B6132F" w:rsidRPr="003D75BA" w14:paraId="3404D3C7" w14:textId="77777777" w:rsidTr="003412DE">
        <w:tc>
          <w:tcPr>
            <w:tcW w:w="7230" w:type="dxa"/>
          </w:tcPr>
          <w:p w14:paraId="218945D4" w14:textId="77777777" w:rsidR="00B6132F" w:rsidRPr="003D75BA" w:rsidRDefault="00B6132F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>Si sono avute delle conseguenze “molto + abbastanza lunghe”</w:t>
            </w:r>
          </w:p>
        </w:tc>
        <w:tc>
          <w:tcPr>
            <w:tcW w:w="1842" w:type="dxa"/>
            <w:gridSpan w:val="2"/>
          </w:tcPr>
          <w:p w14:paraId="7E7FF5AE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2A489854" w14:textId="798500E3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338" w:type="dxa"/>
          </w:tcPr>
          <w:p w14:paraId="3E089ED7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6BC26D27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  <w:r w:rsidRPr="003D75BA">
              <w:rPr>
                <w:sz w:val="18"/>
              </w:rPr>
              <w:t>80,7</w:t>
            </w:r>
          </w:p>
        </w:tc>
        <w:tc>
          <w:tcPr>
            <w:tcW w:w="753" w:type="dxa"/>
            <w:gridSpan w:val="2"/>
            <w:vAlign w:val="center"/>
          </w:tcPr>
          <w:p w14:paraId="1CE26336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</w:tr>
      <w:tr w:rsidR="00B6132F" w:rsidRPr="003D75BA" w14:paraId="0B96A10B" w14:textId="77777777" w:rsidTr="003412DE">
        <w:tc>
          <w:tcPr>
            <w:tcW w:w="7230" w:type="dxa"/>
          </w:tcPr>
          <w:p w14:paraId="383D45DF" w14:textId="77777777" w:rsidR="00B6132F" w:rsidRPr="003D75BA" w:rsidRDefault="00B6132F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>Si sono avute delle conseguenze “brevi+ abbastanza brevi”</w:t>
            </w:r>
          </w:p>
        </w:tc>
        <w:tc>
          <w:tcPr>
            <w:tcW w:w="1842" w:type="dxa"/>
            <w:gridSpan w:val="2"/>
          </w:tcPr>
          <w:p w14:paraId="575F9BF3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21AE47EB" w14:textId="0E00FFBD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338" w:type="dxa"/>
          </w:tcPr>
          <w:p w14:paraId="3609B5EC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2D94F760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  <w:r w:rsidRPr="003D75BA">
              <w:rPr>
                <w:sz w:val="18"/>
              </w:rPr>
              <w:t>19,3</w:t>
            </w:r>
          </w:p>
        </w:tc>
        <w:tc>
          <w:tcPr>
            <w:tcW w:w="753" w:type="dxa"/>
            <w:gridSpan w:val="2"/>
            <w:vAlign w:val="center"/>
          </w:tcPr>
          <w:p w14:paraId="46E2F325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</w:tr>
      <w:tr w:rsidR="00B6132F" w:rsidRPr="003D75BA" w14:paraId="7E7B9051" w14:textId="77777777" w:rsidTr="003412DE">
        <w:tc>
          <w:tcPr>
            <w:tcW w:w="7230" w:type="dxa"/>
          </w:tcPr>
          <w:p w14:paraId="2CACEB3A" w14:textId="77777777" w:rsidR="00B6132F" w:rsidRPr="003D75BA" w:rsidRDefault="00B6132F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>Ma avendo avuto delle conseguenze “molto + abbastanza serie”, queste ultime si sono rivelate anche “molto + abbastanza lunghe” nella quasi totalità dei casi</w:t>
            </w:r>
          </w:p>
        </w:tc>
        <w:tc>
          <w:tcPr>
            <w:tcW w:w="1842" w:type="dxa"/>
            <w:gridSpan w:val="2"/>
          </w:tcPr>
          <w:p w14:paraId="1F83639A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00C8EDCF" w14:textId="09EE8C2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338" w:type="dxa"/>
          </w:tcPr>
          <w:p w14:paraId="3757DA98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4069BC22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  <w:r w:rsidRPr="003D75BA">
              <w:rPr>
                <w:sz w:val="18"/>
              </w:rPr>
              <w:t>97,2</w:t>
            </w:r>
          </w:p>
        </w:tc>
        <w:tc>
          <w:tcPr>
            <w:tcW w:w="753" w:type="dxa"/>
            <w:gridSpan w:val="2"/>
            <w:vAlign w:val="center"/>
          </w:tcPr>
          <w:p w14:paraId="33632B29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</w:tr>
      <w:tr w:rsidR="00B6132F" w:rsidRPr="003D75BA" w14:paraId="2FD8AB54" w14:textId="77777777" w:rsidTr="003412DE">
        <w:tc>
          <w:tcPr>
            <w:tcW w:w="7230" w:type="dxa"/>
            <w:tcBorders>
              <w:bottom w:val="single" w:sz="4" w:space="0" w:color="auto"/>
            </w:tcBorders>
          </w:tcPr>
          <w:p w14:paraId="655C7E1E" w14:textId="77777777" w:rsidR="00B6132F" w:rsidRPr="003D75BA" w:rsidRDefault="00B6132F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>E avendo avuto invece delle conseguenze “abbastanza + molto leggere”, queste ultime si sono rivelate essere state comunque “molto + abbastanza lunghe” in più di 7 casi su 10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61C66854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497" w:type="dxa"/>
            <w:gridSpan w:val="3"/>
            <w:tcBorders>
              <w:bottom w:val="single" w:sz="4" w:space="0" w:color="auto"/>
            </w:tcBorders>
            <w:vAlign w:val="center"/>
          </w:tcPr>
          <w:p w14:paraId="285F2722" w14:textId="0E90BD9A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56CFBD8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vAlign w:val="center"/>
          </w:tcPr>
          <w:p w14:paraId="21068C06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  <w:r w:rsidRPr="003D75BA">
              <w:rPr>
                <w:sz w:val="18"/>
              </w:rPr>
              <w:t>72,4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vAlign w:val="center"/>
          </w:tcPr>
          <w:p w14:paraId="13369401" w14:textId="77777777" w:rsidR="00B6132F" w:rsidRPr="003D75BA" w:rsidRDefault="00B6132F" w:rsidP="003D75BA">
            <w:pPr>
              <w:widowControl w:val="0"/>
              <w:spacing w:before="0" w:after="0"/>
              <w:rPr>
                <w:sz w:val="18"/>
              </w:rPr>
            </w:pPr>
          </w:p>
        </w:tc>
      </w:tr>
      <w:tr w:rsidR="00B6132F" w:rsidRPr="003D75BA" w14:paraId="37861DEA" w14:textId="77777777" w:rsidTr="003412DE">
        <w:tc>
          <w:tcPr>
            <w:tcW w:w="7230" w:type="dxa"/>
            <w:tcBorders>
              <w:top w:val="single" w:sz="4" w:space="0" w:color="auto"/>
            </w:tcBorders>
          </w:tcPr>
          <w:p w14:paraId="26317B80" w14:textId="77777777" w:rsidR="00B6132F" w:rsidRPr="003D75BA" w:rsidRDefault="00B6132F" w:rsidP="003D75BA">
            <w:pPr>
              <w:widowControl w:val="0"/>
              <w:spacing w:before="0" w:after="0"/>
              <w:rPr>
                <w:i/>
                <w:iCs/>
                <w:sz w:val="18"/>
              </w:rPr>
            </w:pPr>
          </w:p>
          <w:p w14:paraId="535BAA00" w14:textId="0EFDC9BB" w:rsidR="00B6132F" w:rsidRPr="003D75BA" w:rsidRDefault="00B6132F" w:rsidP="003D75BA">
            <w:pPr>
              <w:widowControl w:val="0"/>
              <w:spacing w:before="0" w:after="0"/>
              <w:rPr>
                <w:sz w:val="18"/>
                <w:vertAlign w:val="superscript"/>
              </w:rPr>
            </w:pPr>
            <w:r w:rsidRPr="003D75BA">
              <w:rPr>
                <w:i/>
                <w:iCs/>
                <w:sz w:val="18"/>
              </w:rPr>
              <w:t>La valutazione delle prestazioni ricevute come pazienti Covid-19 da parte delle diverse strutture sanitarie del proprio territorio (al netto delle mancate risposte)</w:t>
            </w:r>
            <w:r w:rsidRPr="003D75BA">
              <w:rPr>
                <w:sz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1281E17B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95AD4B" w14:textId="139D3EE0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4F261AA5" w14:textId="77777777" w:rsidR="00B6132F" w:rsidRPr="003D75BA" w:rsidRDefault="00B6132F" w:rsidP="003D75BA">
            <w:pPr>
              <w:widowControl w:val="0"/>
              <w:pBdr>
                <w:bottom w:val="single" w:sz="4" w:space="1" w:color="auto"/>
              </w:pBdr>
              <w:spacing w:before="0" w:after="0"/>
              <w:jc w:val="center"/>
              <w:rPr>
                <w:i/>
                <w:iCs/>
                <w:sz w:val="18"/>
              </w:rPr>
            </w:pPr>
            <w:r w:rsidRPr="003D75BA">
              <w:rPr>
                <w:i/>
                <w:iCs/>
                <w:sz w:val="18"/>
                <w:szCs w:val="20"/>
              </w:rPr>
              <w:t>Livello medio del tutto soddisfacente + soddisfacente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</w:tcBorders>
          </w:tcPr>
          <w:p w14:paraId="03D90449" w14:textId="77777777" w:rsidR="00B6132F" w:rsidRPr="003D75BA" w:rsidRDefault="00B6132F" w:rsidP="003D75BA">
            <w:pPr>
              <w:widowControl w:val="0"/>
              <w:pBdr>
                <w:bottom w:val="single" w:sz="4" w:space="1" w:color="auto"/>
              </w:pBdr>
              <w:spacing w:before="0" w:after="0"/>
              <w:jc w:val="center"/>
              <w:rPr>
                <w:i/>
                <w:iCs/>
                <w:sz w:val="18"/>
              </w:rPr>
            </w:pPr>
            <w:r w:rsidRPr="003D75BA">
              <w:rPr>
                <w:i/>
                <w:iCs/>
                <w:sz w:val="18"/>
                <w:szCs w:val="20"/>
              </w:rPr>
              <w:t>Livello medio Poco + Per nulla soddisfacente</w:t>
            </w:r>
          </w:p>
        </w:tc>
      </w:tr>
      <w:tr w:rsidR="00B6132F" w:rsidRPr="003D75BA" w14:paraId="240015D7" w14:textId="77777777" w:rsidTr="003412DE">
        <w:tc>
          <w:tcPr>
            <w:tcW w:w="7230" w:type="dxa"/>
            <w:vAlign w:val="center"/>
          </w:tcPr>
          <w:p w14:paraId="2F367918" w14:textId="77777777" w:rsidR="00B6132F" w:rsidRPr="003D75BA" w:rsidRDefault="00B6132F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 xml:space="preserve">Medico di famiglia </w:t>
            </w:r>
          </w:p>
        </w:tc>
        <w:tc>
          <w:tcPr>
            <w:tcW w:w="1842" w:type="dxa"/>
            <w:gridSpan w:val="2"/>
          </w:tcPr>
          <w:p w14:paraId="6236AF04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7D05473" w14:textId="1BB3F7D0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E44AB99" w14:textId="77777777" w:rsidR="00B6132F" w:rsidRPr="003D75BA" w:rsidRDefault="00B6132F" w:rsidP="003D75BA">
            <w:pPr>
              <w:widowControl w:val="0"/>
              <w:spacing w:before="0" w:after="0"/>
              <w:jc w:val="center"/>
              <w:rPr>
                <w:sz w:val="18"/>
              </w:rPr>
            </w:pPr>
            <w:r w:rsidRPr="003D75BA">
              <w:rPr>
                <w:rFonts w:eastAsia="Times New Roman" w:cs="Calibri"/>
                <w:sz w:val="18"/>
              </w:rPr>
              <w:t>62,2</w:t>
            </w:r>
          </w:p>
        </w:tc>
        <w:tc>
          <w:tcPr>
            <w:tcW w:w="1501" w:type="dxa"/>
            <w:gridSpan w:val="4"/>
            <w:vAlign w:val="center"/>
          </w:tcPr>
          <w:p w14:paraId="5B77F508" w14:textId="77777777" w:rsidR="00B6132F" w:rsidRPr="003D75BA" w:rsidRDefault="00B6132F" w:rsidP="003D75BA">
            <w:pPr>
              <w:widowControl w:val="0"/>
              <w:spacing w:before="0" w:after="0"/>
              <w:jc w:val="center"/>
              <w:rPr>
                <w:sz w:val="18"/>
              </w:rPr>
            </w:pPr>
            <w:r w:rsidRPr="003D75BA">
              <w:rPr>
                <w:rFonts w:eastAsia="Times New Roman" w:cs="Calibri"/>
                <w:sz w:val="18"/>
              </w:rPr>
              <w:t>29,2</w:t>
            </w:r>
          </w:p>
        </w:tc>
      </w:tr>
      <w:tr w:rsidR="00B6132F" w:rsidRPr="003D75BA" w14:paraId="1D772CBA" w14:textId="77777777" w:rsidTr="003412DE">
        <w:tc>
          <w:tcPr>
            <w:tcW w:w="7230" w:type="dxa"/>
            <w:vAlign w:val="center"/>
          </w:tcPr>
          <w:p w14:paraId="32529C18" w14:textId="77777777" w:rsidR="00B6132F" w:rsidRPr="003D75BA" w:rsidRDefault="00B6132F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 xml:space="preserve">Strutture territoriali (ASL) </w:t>
            </w:r>
          </w:p>
        </w:tc>
        <w:tc>
          <w:tcPr>
            <w:tcW w:w="1842" w:type="dxa"/>
            <w:gridSpan w:val="2"/>
          </w:tcPr>
          <w:p w14:paraId="7EE6B21C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63B0708" w14:textId="66E51F1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1898E3B" w14:textId="77777777" w:rsidR="00B6132F" w:rsidRPr="003D75BA" w:rsidRDefault="00B6132F" w:rsidP="003D75BA">
            <w:pPr>
              <w:widowControl w:val="0"/>
              <w:spacing w:before="0" w:after="0"/>
              <w:jc w:val="center"/>
              <w:rPr>
                <w:sz w:val="18"/>
              </w:rPr>
            </w:pPr>
            <w:r w:rsidRPr="003D75BA">
              <w:rPr>
                <w:rFonts w:eastAsia="Times New Roman" w:cs="Calibri"/>
                <w:sz w:val="18"/>
              </w:rPr>
              <w:t>65,4</w:t>
            </w:r>
          </w:p>
        </w:tc>
        <w:tc>
          <w:tcPr>
            <w:tcW w:w="1501" w:type="dxa"/>
            <w:gridSpan w:val="4"/>
            <w:vAlign w:val="center"/>
          </w:tcPr>
          <w:p w14:paraId="55223C7B" w14:textId="77777777" w:rsidR="00B6132F" w:rsidRPr="003D75BA" w:rsidRDefault="00B6132F" w:rsidP="003D75BA">
            <w:pPr>
              <w:widowControl w:val="0"/>
              <w:spacing w:before="0" w:after="0"/>
              <w:jc w:val="center"/>
              <w:rPr>
                <w:sz w:val="18"/>
              </w:rPr>
            </w:pPr>
            <w:r w:rsidRPr="003D75BA">
              <w:rPr>
                <w:rFonts w:eastAsia="Times New Roman" w:cs="Calibri"/>
                <w:sz w:val="18"/>
              </w:rPr>
              <w:t>34,1</w:t>
            </w:r>
          </w:p>
        </w:tc>
      </w:tr>
      <w:tr w:rsidR="00B6132F" w:rsidRPr="003D75BA" w14:paraId="69C9A7B5" w14:textId="77777777" w:rsidTr="003412DE">
        <w:tc>
          <w:tcPr>
            <w:tcW w:w="7230" w:type="dxa"/>
            <w:vAlign w:val="center"/>
          </w:tcPr>
          <w:p w14:paraId="7FFBA093" w14:textId="77777777" w:rsidR="00B6132F" w:rsidRPr="003D75BA" w:rsidRDefault="00B6132F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 xml:space="preserve">Ospedali pubblici </w:t>
            </w:r>
          </w:p>
        </w:tc>
        <w:tc>
          <w:tcPr>
            <w:tcW w:w="1842" w:type="dxa"/>
            <w:gridSpan w:val="2"/>
          </w:tcPr>
          <w:p w14:paraId="3D0DA62E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34C32C4" w14:textId="734BC691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D4483B6" w14:textId="77777777" w:rsidR="00B6132F" w:rsidRPr="003D75BA" w:rsidRDefault="00B6132F" w:rsidP="003D75BA">
            <w:pPr>
              <w:widowControl w:val="0"/>
              <w:spacing w:before="0" w:after="0"/>
              <w:jc w:val="center"/>
              <w:rPr>
                <w:sz w:val="18"/>
              </w:rPr>
            </w:pPr>
            <w:r w:rsidRPr="003D75BA">
              <w:rPr>
                <w:rFonts w:eastAsia="Times New Roman" w:cs="Calibri"/>
                <w:sz w:val="18"/>
              </w:rPr>
              <w:t>61,1</w:t>
            </w:r>
          </w:p>
        </w:tc>
        <w:tc>
          <w:tcPr>
            <w:tcW w:w="1501" w:type="dxa"/>
            <w:gridSpan w:val="4"/>
            <w:vAlign w:val="center"/>
          </w:tcPr>
          <w:p w14:paraId="587DB65B" w14:textId="77777777" w:rsidR="00B6132F" w:rsidRPr="003D75BA" w:rsidRDefault="00B6132F" w:rsidP="003D75BA">
            <w:pPr>
              <w:widowControl w:val="0"/>
              <w:spacing w:before="0" w:after="0"/>
              <w:jc w:val="center"/>
              <w:rPr>
                <w:sz w:val="18"/>
              </w:rPr>
            </w:pPr>
            <w:r w:rsidRPr="003D75BA">
              <w:rPr>
                <w:rFonts w:eastAsia="Times New Roman" w:cs="Calibri"/>
                <w:sz w:val="18"/>
              </w:rPr>
              <w:t>38,9</w:t>
            </w:r>
          </w:p>
        </w:tc>
      </w:tr>
      <w:tr w:rsidR="00B6132F" w:rsidRPr="003D75BA" w14:paraId="6566D4CE" w14:textId="77777777" w:rsidTr="003412DE">
        <w:tc>
          <w:tcPr>
            <w:tcW w:w="7230" w:type="dxa"/>
            <w:vAlign w:val="center"/>
          </w:tcPr>
          <w:p w14:paraId="7833C51C" w14:textId="77777777" w:rsidR="00B6132F" w:rsidRPr="003D75BA" w:rsidRDefault="00B6132F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 xml:space="preserve">Ospedali accreditati </w:t>
            </w:r>
          </w:p>
        </w:tc>
        <w:tc>
          <w:tcPr>
            <w:tcW w:w="1842" w:type="dxa"/>
            <w:gridSpan w:val="2"/>
          </w:tcPr>
          <w:p w14:paraId="3E373E57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51DB4C3" w14:textId="4FAD1624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FAC84C5" w14:textId="77777777" w:rsidR="00B6132F" w:rsidRPr="003D75BA" w:rsidRDefault="00B6132F" w:rsidP="003D75BA">
            <w:pPr>
              <w:widowControl w:val="0"/>
              <w:spacing w:before="0" w:after="0"/>
              <w:jc w:val="center"/>
              <w:rPr>
                <w:sz w:val="18"/>
              </w:rPr>
            </w:pPr>
            <w:r w:rsidRPr="003D75BA">
              <w:rPr>
                <w:rFonts w:eastAsia="Times New Roman" w:cs="Calibri"/>
                <w:sz w:val="18"/>
              </w:rPr>
              <w:t>59,0</w:t>
            </w:r>
          </w:p>
        </w:tc>
        <w:tc>
          <w:tcPr>
            <w:tcW w:w="1501" w:type="dxa"/>
            <w:gridSpan w:val="4"/>
            <w:vAlign w:val="center"/>
          </w:tcPr>
          <w:p w14:paraId="686E2AA4" w14:textId="77777777" w:rsidR="00B6132F" w:rsidRPr="003D75BA" w:rsidRDefault="00B6132F" w:rsidP="003D75BA">
            <w:pPr>
              <w:widowControl w:val="0"/>
              <w:spacing w:before="0" w:after="0"/>
              <w:jc w:val="center"/>
              <w:rPr>
                <w:sz w:val="18"/>
              </w:rPr>
            </w:pPr>
            <w:r w:rsidRPr="003D75BA">
              <w:rPr>
                <w:rFonts w:eastAsia="Times New Roman" w:cs="Calibri"/>
                <w:sz w:val="18"/>
              </w:rPr>
              <w:t>38,1</w:t>
            </w:r>
          </w:p>
        </w:tc>
      </w:tr>
      <w:tr w:rsidR="00B6132F" w:rsidRPr="003D75BA" w14:paraId="2B4D5961" w14:textId="77777777" w:rsidTr="003412DE">
        <w:tc>
          <w:tcPr>
            <w:tcW w:w="7230" w:type="dxa"/>
            <w:vAlign w:val="center"/>
          </w:tcPr>
          <w:p w14:paraId="34FECD03" w14:textId="77777777" w:rsidR="00B6132F" w:rsidRPr="003D75BA" w:rsidRDefault="00B6132F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 xml:space="preserve">Cliniche private a pagamento pieno </w:t>
            </w:r>
          </w:p>
        </w:tc>
        <w:tc>
          <w:tcPr>
            <w:tcW w:w="1842" w:type="dxa"/>
            <w:gridSpan w:val="2"/>
          </w:tcPr>
          <w:p w14:paraId="30BBBC4F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E0BAE54" w14:textId="685F7295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12B95E0" w14:textId="77777777" w:rsidR="00B6132F" w:rsidRPr="003D75BA" w:rsidRDefault="00B6132F" w:rsidP="003D75BA">
            <w:pPr>
              <w:widowControl w:val="0"/>
              <w:spacing w:before="0" w:after="0"/>
              <w:jc w:val="center"/>
              <w:rPr>
                <w:sz w:val="18"/>
              </w:rPr>
            </w:pPr>
            <w:r w:rsidRPr="003D75BA">
              <w:rPr>
                <w:rFonts w:eastAsia="Times New Roman" w:cs="Calibri"/>
                <w:sz w:val="18"/>
              </w:rPr>
              <w:t>40,7</w:t>
            </w:r>
          </w:p>
        </w:tc>
        <w:tc>
          <w:tcPr>
            <w:tcW w:w="1501" w:type="dxa"/>
            <w:gridSpan w:val="4"/>
            <w:vAlign w:val="center"/>
          </w:tcPr>
          <w:p w14:paraId="50215F2E" w14:textId="77777777" w:rsidR="00B6132F" w:rsidRPr="003D75BA" w:rsidRDefault="00B6132F" w:rsidP="003D75BA">
            <w:pPr>
              <w:widowControl w:val="0"/>
              <w:spacing w:before="0" w:after="0"/>
              <w:jc w:val="center"/>
              <w:rPr>
                <w:sz w:val="18"/>
              </w:rPr>
            </w:pPr>
            <w:r w:rsidRPr="003D75BA">
              <w:rPr>
                <w:rFonts w:eastAsia="Times New Roman" w:cs="Calibri"/>
                <w:sz w:val="18"/>
              </w:rPr>
              <w:t>59,3</w:t>
            </w:r>
          </w:p>
        </w:tc>
      </w:tr>
      <w:tr w:rsidR="00B6132F" w:rsidRPr="003D75BA" w14:paraId="79E24CC9" w14:textId="77777777" w:rsidTr="003412DE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516AA6C5" w14:textId="77777777" w:rsidR="00B6132F" w:rsidRPr="003D75BA" w:rsidRDefault="00B6132F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 xml:space="preserve">RSA (Residenze Sanitarie per Anziani)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3DBF9391" w14:textId="77777777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8CA6D1" w14:textId="2D33F80B" w:rsidR="00B6132F" w:rsidRPr="003D75BA" w:rsidRDefault="00B6132F" w:rsidP="003D75BA">
            <w:pPr>
              <w:widowControl w:val="0"/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5E84BD5" w14:textId="77777777" w:rsidR="00B6132F" w:rsidRPr="003D75BA" w:rsidRDefault="00B6132F" w:rsidP="003D75BA">
            <w:pPr>
              <w:widowControl w:val="0"/>
              <w:spacing w:before="0" w:after="0"/>
              <w:jc w:val="center"/>
              <w:rPr>
                <w:sz w:val="18"/>
              </w:rPr>
            </w:pPr>
            <w:r w:rsidRPr="003D75BA">
              <w:rPr>
                <w:rFonts w:eastAsia="Times New Roman" w:cs="Calibri"/>
                <w:sz w:val="18"/>
              </w:rPr>
              <w:t>54,6</w:t>
            </w:r>
          </w:p>
        </w:tc>
        <w:tc>
          <w:tcPr>
            <w:tcW w:w="1501" w:type="dxa"/>
            <w:gridSpan w:val="4"/>
            <w:tcBorders>
              <w:bottom w:val="single" w:sz="4" w:space="0" w:color="auto"/>
            </w:tcBorders>
            <w:vAlign w:val="center"/>
          </w:tcPr>
          <w:p w14:paraId="7BB21526" w14:textId="77777777" w:rsidR="00B6132F" w:rsidRPr="003D75BA" w:rsidRDefault="00B6132F" w:rsidP="003D75BA">
            <w:pPr>
              <w:widowControl w:val="0"/>
              <w:spacing w:before="0" w:after="0"/>
              <w:jc w:val="center"/>
              <w:rPr>
                <w:sz w:val="18"/>
              </w:rPr>
            </w:pPr>
            <w:r w:rsidRPr="003D75BA">
              <w:rPr>
                <w:rFonts w:eastAsia="Times New Roman" w:cs="Calibri"/>
                <w:sz w:val="18"/>
              </w:rPr>
              <w:t>45,4</w:t>
            </w:r>
          </w:p>
        </w:tc>
      </w:tr>
      <w:tr w:rsidR="003D75BA" w:rsidRPr="003D75BA" w14:paraId="4C32FCCE" w14:textId="77777777" w:rsidTr="003412DE">
        <w:trPr>
          <w:gridAfter w:val="1"/>
          <w:wAfter w:w="22" w:type="dxa"/>
        </w:trPr>
        <w:tc>
          <w:tcPr>
            <w:tcW w:w="7230" w:type="dxa"/>
            <w:vMerge w:val="restart"/>
            <w:tcBorders>
              <w:top w:val="single" w:sz="4" w:space="0" w:color="auto"/>
            </w:tcBorders>
          </w:tcPr>
          <w:p w14:paraId="0911CAEF" w14:textId="77777777" w:rsidR="003D75BA" w:rsidRPr="003D75BA" w:rsidRDefault="003D75BA" w:rsidP="003D75BA">
            <w:pPr>
              <w:widowControl w:val="0"/>
              <w:spacing w:before="0" w:after="0"/>
              <w:rPr>
                <w:i/>
                <w:iCs/>
                <w:sz w:val="18"/>
              </w:rPr>
            </w:pPr>
          </w:p>
          <w:p w14:paraId="0AA2DD03" w14:textId="3930D689" w:rsidR="003D75BA" w:rsidRPr="003D75BA" w:rsidRDefault="003D75BA" w:rsidP="003D75BA">
            <w:pPr>
              <w:widowControl w:val="0"/>
              <w:spacing w:before="0" w:after="0"/>
              <w:rPr>
                <w:sz w:val="18"/>
              </w:rPr>
            </w:pPr>
            <w:r w:rsidRPr="003D75BA">
              <w:rPr>
                <w:i/>
                <w:iCs/>
                <w:sz w:val="18"/>
              </w:rPr>
              <w:t>L’emersione di una domanda molto più pronunciata di prestazioni ordinarie (tramite liste di attesa) da parte dei pazienti Covid rispetto ad una domanda calante della po</w:t>
            </w:r>
            <w:r w:rsidRPr="003D75BA">
              <w:rPr>
                <w:i/>
                <w:iCs/>
                <w:sz w:val="18"/>
              </w:rPr>
              <w:softHyphen/>
              <w:t>polazione</w:t>
            </w:r>
            <w:r w:rsidRPr="003D75BA">
              <w:rPr>
                <w:sz w:val="18"/>
              </w:rPr>
              <w:t>: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</w:tcBorders>
          </w:tcPr>
          <w:p w14:paraId="30F3F3E1" w14:textId="77777777" w:rsidR="00B6132F" w:rsidRDefault="003D75BA" w:rsidP="003D75BA">
            <w:pPr>
              <w:widowControl w:val="0"/>
              <w:pBdr>
                <w:bottom w:val="single" w:sz="4" w:space="1" w:color="auto"/>
              </w:pBdr>
              <w:spacing w:before="0" w:after="0"/>
              <w:jc w:val="center"/>
              <w:rPr>
                <w:i/>
                <w:iCs/>
                <w:sz w:val="18"/>
              </w:rPr>
            </w:pPr>
            <w:r w:rsidRPr="003D75BA">
              <w:rPr>
                <w:i/>
                <w:iCs/>
                <w:sz w:val="18"/>
              </w:rPr>
              <w:t xml:space="preserve">Popolazione al netto dei pazienti </w:t>
            </w:r>
          </w:p>
          <w:p w14:paraId="250579AF" w14:textId="1E39F836" w:rsidR="003D75BA" w:rsidRPr="003D75BA" w:rsidRDefault="003D75BA" w:rsidP="003D75BA">
            <w:pPr>
              <w:widowControl w:val="0"/>
              <w:pBdr>
                <w:bottom w:val="single" w:sz="4" w:space="1" w:color="auto"/>
              </w:pBdr>
              <w:spacing w:before="0" w:after="0"/>
              <w:jc w:val="center"/>
              <w:rPr>
                <w:i/>
                <w:iCs/>
                <w:sz w:val="18"/>
              </w:rPr>
            </w:pPr>
            <w:r w:rsidRPr="003D75BA">
              <w:rPr>
                <w:i/>
                <w:iCs/>
                <w:sz w:val="18"/>
              </w:rPr>
              <w:t>Covid-19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</w:tcBorders>
          </w:tcPr>
          <w:p w14:paraId="5E19EDE3" w14:textId="77777777" w:rsidR="003D75BA" w:rsidRPr="003D75BA" w:rsidRDefault="003D75BA" w:rsidP="003D75BA">
            <w:pPr>
              <w:widowControl w:val="0"/>
              <w:pBdr>
                <w:bottom w:val="single" w:sz="4" w:space="1" w:color="auto"/>
              </w:pBdr>
              <w:spacing w:before="0" w:after="0"/>
              <w:jc w:val="center"/>
              <w:rPr>
                <w:i/>
                <w:iCs/>
                <w:sz w:val="18"/>
              </w:rPr>
            </w:pPr>
          </w:p>
          <w:p w14:paraId="23C809F7" w14:textId="77777777" w:rsidR="003D75BA" w:rsidRPr="003D75BA" w:rsidRDefault="003D75BA" w:rsidP="003D75BA">
            <w:pPr>
              <w:widowControl w:val="0"/>
              <w:pBdr>
                <w:bottom w:val="single" w:sz="4" w:space="1" w:color="auto"/>
              </w:pBdr>
              <w:spacing w:before="0" w:after="0"/>
              <w:jc w:val="center"/>
              <w:rPr>
                <w:i/>
                <w:iCs/>
                <w:sz w:val="18"/>
              </w:rPr>
            </w:pPr>
            <w:r w:rsidRPr="003D75BA">
              <w:rPr>
                <w:i/>
                <w:iCs/>
                <w:sz w:val="18"/>
              </w:rPr>
              <w:t>Pazienti Covid-19</w:t>
            </w:r>
          </w:p>
        </w:tc>
      </w:tr>
      <w:tr w:rsidR="003D75BA" w:rsidRPr="003D75BA" w14:paraId="25E7BAA9" w14:textId="77777777" w:rsidTr="003412DE">
        <w:trPr>
          <w:gridAfter w:val="1"/>
          <w:wAfter w:w="22" w:type="dxa"/>
        </w:trPr>
        <w:tc>
          <w:tcPr>
            <w:tcW w:w="7230" w:type="dxa"/>
            <w:vMerge/>
          </w:tcPr>
          <w:p w14:paraId="5B194DE4" w14:textId="77777777" w:rsidR="003D75BA" w:rsidRPr="003D75BA" w:rsidRDefault="003D75BA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firstLine="0"/>
              <w:rPr>
                <w:sz w:val="18"/>
              </w:rPr>
            </w:pPr>
          </w:p>
        </w:tc>
        <w:tc>
          <w:tcPr>
            <w:tcW w:w="1817" w:type="dxa"/>
            <w:vAlign w:val="center"/>
          </w:tcPr>
          <w:p w14:paraId="74CE029C" w14:textId="77777777" w:rsidR="003D75BA" w:rsidRPr="003D75BA" w:rsidRDefault="003D75BA" w:rsidP="003D75BA">
            <w:pPr>
              <w:widowControl w:val="0"/>
              <w:spacing w:before="0" w:after="0"/>
              <w:jc w:val="center"/>
              <w:rPr>
                <w:i/>
                <w:sz w:val="18"/>
              </w:rPr>
            </w:pPr>
            <w:r w:rsidRPr="003D75BA">
              <w:rPr>
                <w:i/>
                <w:sz w:val="18"/>
              </w:rPr>
              <w:t>2020</w:t>
            </w:r>
          </w:p>
        </w:tc>
        <w:tc>
          <w:tcPr>
            <w:tcW w:w="1435" w:type="dxa"/>
            <w:gridSpan w:val="3"/>
            <w:vAlign w:val="center"/>
          </w:tcPr>
          <w:p w14:paraId="1E471243" w14:textId="21A32A2D" w:rsidR="003D75BA" w:rsidRPr="003D75BA" w:rsidRDefault="003D75BA" w:rsidP="003D75BA">
            <w:pPr>
              <w:widowControl w:val="0"/>
              <w:spacing w:before="0" w:after="0"/>
              <w:jc w:val="center"/>
              <w:rPr>
                <w:iCs/>
                <w:sz w:val="18"/>
                <w:vertAlign w:val="superscript"/>
              </w:rPr>
            </w:pPr>
            <w:r w:rsidRPr="003D75BA">
              <w:rPr>
                <w:i/>
                <w:sz w:val="18"/>
              </w:rPr>
              <w:t>2021</w:t>
            </w:r>
          </w:p>
        </w:tc>
        <w:tc>
          <w:tcPr>
            <w:tcW w:w="1437" w:type="dxa"/>
            <w:gridSpan w:val="3"/>
            <w:vAlign w:val="center"/>
          </w:tcPr>
          <w:p w14:paraId="279443EC" w14:textId="77777777" w:rsidR="003D75BA" w:rsidRPr="003D75BA" w:rsidRDefault="003D75BA" w:rsidP="003D75BA">
            <w:pPr>
              <w:widowControl w:val="0"/>
              <w:spacing w:before="0" w:after="0"/>
              <w:jc w:val="center"/>
              <w:rPr>
                <w:i/>
                <w:sz w:val="18"/>
              </w:rPr>
            </w:pPr>
            <w:r w:rsidRPr="003D75BA">
              <w:rPr>
                <w:i/>
                <w:sz w:val="18"/>
              </w:rPr>
              <w:t>2020</w:t>
            </w:r>
          </w:p>
        </w:tc>
        <w:tc>
          <w:tcPr>
            <w:tcW w:w="1467" w:type="dxa"/>
            <w:gridSpan w:val="2"/>
            <w:vAlign w:val="center"/>
          </w:tcPr>
          <w:p w14:paraId="7DFE7552" w14:textId="0B95C31D" w:rsidR="003D75BA" w:rsidRPr="003D75BA" w:rsidRDefault="003D75BA" w:rsidP="003D75BA">
            <w:pPr>
              <w:widowControl w:val="0"/>
              <w:spacing w:before="0" w:after="0"/>
              <w:jc w:val="center"/>
              <w:rPr>
                <w:iCs/>
                <w:sz w:val="18"/>
                <w:vertAlign w:val="superscript"/>
              </w:rPr>
            </w:pPr>
            <w:r w:rsidRPr="003D75BA">
              <w:rPr>
                <w:i/>
                <w:sz w:val="18"/>
              </w:rPr>
              <w:t>2021</w:t>
            </w:r>
          </w:p>
        </w:tc>
      </w:tr>
      <w:tr w:rsidR="003D75BA" w:rsidRPr="003D75BA" w14:paraId="0B14E7C1" w14:textId="77777777" w:rsidTr="003412DE">
        <w:trPr>
          <w:gridAfter w:val="1"/>
          <w:wAfter w:w="22" w:type="dxa"/>
        </w:trPr>
        <w:tc>
          <w:tcPr>
            <w:tcW w:w="7230" w:type="dxa"/>
          </w:tcPr>
          <w:p w14:paraId="45F0A037" w14:textId="77777777" w:rsidR="003D75BA" w:rsidRPr="003D75BA" w:rsidRDefault="003D75BA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>Si sono avute una o più esperienze di liste di attesa in vista di prestazioni ASL, per malattie/interventi di tipo serio-grave</w:t>
            </w:r>
          </w:p>
        </w:tc>
        <w:tc>
          <w:tcPr>
            <w:tcW w:w="1817" w:type="dxa"/>
            <w:vAlign w:val="center"/>
          </w:tcPr>
          <w:p w14:paraId="3B3F2803" w14:textId="77777777" w:rsidR="003D75BA" w:rsidRPr="003D75BA" w:rsidRDefault="003D75BA" w:rsidP="006D68E5">
            <w:pPr>
              <w:widowControl w:val="0"/>
              <w:spacing w:before="0" w:after="0"/>
              <w:ind w:right="624"/>
              <w:jc w:val="right"/>
              <w:rPr>
                <w:sz w:val="18"/>
              </w:rPr>
            </w:pPr>
            <w:r w:rsidRPr="003D75BA">
              <w:rPr>
                <w:sz w:val="18"/>
              </w:rPr>
              <w:t>10,1</w:t>
            </w:r>
          </w:p>
        </w:tc>
        <w:tc>
          <w:tcPr>
            <w:tcW w:w="1435" w:type="dxa"/>
            <w:gridSpan w:val="3"/>
            <w:vAlign w:val="center"/>
          </w:tcPr>
          <w:p w14:paraId="00EEC041" w14:textId="77777777" w:rsidR="003D75BA" w:rsidRPr="003D75BA" w:rsidRDefault="003D75BA" w:rsidP="006D68E5">
            <w:pPr>
              <w:widowControl w:val="0"/>
              <w:spacing w:before="0" w:after="0"/>
              <w:ind w:right="454"/>
              <w:jc w:val="right"/>
              <w:rPr>
                <w:sz w:val="18"/>
              </w:rPr>
            </w:pPr>
            <w:r w:rsidRPr="003D75BA">
              <w:rPr>
                <w:sz w:val="18"/>
              </w:rPr>
              <w:t>7,7</w:t>
            </w:r>
          </w:p>
        </w:tc>
        <w:tc>
          <w:tcPr>
            <w:tcW w:w="1437" w:type="dxa"/>
            <w:gridSpan w:val="3"/>
            <w:vAlign w:val="center"/>
          </w:tcPr>
          <w:p w14:paraId="625223D3" w14:textId="77777777" w:rsidR="003D75BA" w:rsidRPr="003D75BA" w:rsidRDefault="003D75BA" w:rsidP="003D75BA">
            <w:pPr>
              <w:widowControl w:val="0"/>
              <w:spacing w:before="0" w:after="0"/>
              <w:ind w:right="57"/>
              <w:jc w:val="right"/>
              <w:rPr>
                <w:i/>
                <w:iCs/>
                <w:sz w:val="18"/>
              </w:rPr>
            </w:pPr>
            <w:r w:rsidRPr="003D75BA">
              <w:rPr>
                <w:sz w:val="18"/>
              </w:rPr>
              <w:t>38,5 (</w:t>
            </w:r>
            <w:r w:rsidRPr="003D75BA">
              <w:rPr>
                <w:i/>
                <w:iCs/>
                <w:sz w:val="18"/>
              </w:rPr>
              <w:t>3,8 x)</w:t>
            </w:r>
          </w:p>
        </w:tc>
        <w:tc>
          <w:tcPr>
            <w:tcW w:w="1467" w:type="dxa"/>
            <w:gridSpan w:val="2"/>
            <w:vAlign w:val="center"/>
          </w:tcPr>
          <w:p w14:paraId="043547EC" w14:textId="77777777" w:rsidR="003D75BA" w:rsidRPr="003D75BA" w:rsidRDefault="003D75BA" w:rsidP="003D75BA">
            <w:pPr>
              <w:widowControl w:val="0"/>
              <w:spacing w:before="0" w:after="0"/>
              <w:ind w:right="57"/>
              <w:jc w:val="right"/>
              <w:rPr>
                <w:sz w:val="18"/>
              </w:rPr>
            </w:pPr>
            <w:r w:rsidRPr="003D75BA">
              <w:rPr>
                <w:sz w:val="18"/>
              </w:rPr>
              <w:t>39,4 (</w:t>
            </w:r>
            <w:r w:rsidRPr="003D75BA">
              <w:rPr>
                <w:i/>
                <w:iCs/>
                <w:sz w:val="18"/>
              </w:rPr>
              <w:t>5,1 x)</w:t>
            </w:r>
          </w:p>
        </w:tc>
      </w:tr>
      <w:tr w:rsidR="003D75BA" w:rsidRPr="003D75BA" w14:paraId="2E52014F" w14:textId="77777777" w:rsidTr="003412DE">
        <w:trPr>
          <w:gridAfter w:val="1"/>
          <w:wAfter w:w="22" w:type="dxa"/>
        </w:trPr>
        <w:tc>
          <w:tcPr>
            <w:tcW w:w="7230" w:type="dxa"/>
          </w:tcPr>
          <w:p w14:paraId="3C0B8160" w14:textId="77777777" w:rsidR="003D75BA" w:rsidRPr="003D75BA" w:rsidRDefault="003D75BA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>Si sono avute una o più esperienze di liste di attesa in vista di prestazioni ASL, per malattie/interventi di tipo leggero</w:t>
            </w:r>
          </w:p>
        </w:tc>
        <w:tc>
          <w:tcPr>
            <w:tcW w:w="1817" w:type="dxa"/>
            <w:vAlign w:val="center"/>
          </w:tcPr>
          <w:p w14:paraId="206F0470" w14:textId="77777777" w:rsidR="003D75BA" w:rsidRPr="003D75BA" w:rsidRDefault="003D75BA" w:rsidP="006D68E5">
            <w:pPr>
              <w:widowControl w:val="0"/>
              <w:spacing w:before="0" w:after="0"/>
              <w:ind w:right="624"/>
              <w:jc w:val="right"/>
              <w:rPr>
                <w:sz w:val="18"/>
              </w:rPr>
            </w:pPr>
            <w:r w:rsidRPr="003D75BA">
              <w:rPr>
                <w:sz w:val="18"/>
              </w:rPr>
              <w:t>11,5</w:t>
            </w:r>
          </w:p>
        </w:tc>
        <w:tc>
          <w:tcPr>
            <w:tcW w:w="1435" w:type="dxa"/>
            <w:gridSpan w:val="3"/>
            <w:vAlign w:val="center"/>
          </w:tcPr>
          <w:p w14:paraId="5E09F7E1" w14:textId="77777777" w:rsidR="003D75BA" w:rsidRPr="003D75BA" w:rsidRDefault="003D75BA" w:rsidP="006D68E5">
            <w:pPr>
              <w:widowControl w:val="0"/>
              <w:spacing w:before="0" w:after="0"/>
              <w:ind w:right="454"/>
              <w:jc w:val="right"/>
              <w:rPr>
                <w:sz w:val="18"/>
              </w:rPr>
            </w:pPr>
            <w:r w:rsidRPr="003D75BA">
              <w:rPr>
                <w:sz w:val="18"/>
              </w:rPr>
              <w:t>10,2</w:t>
            </w:r>
          </w:p>
        </w:tc>
        <w:tc>
          <w:tcPr>
            <w:tcW w:w="1437" w:type="dxa"/>
            <w:gridSpan w:val="3"/>
            <w:vAlign w:val="center"/>
          </w:tcPr>
          <w:p w14:paraId="3F775F9C" w14:textId="77777777" w:rsidR="003D75BA" w:rsidRPr="003D75BA" w:rsidRDefault="003D75BA" w:rsidP="003D75BA">
            <w:pPr>
              <w:widowControl w:val="0"/>
              <w:spacing w:before="0" w:after="0"/>
              <w:ind w:right="57"/>
              <w:jc w:val="right"/>
              <w:rPr>
                <w:sz w:val="18"/>
              </w:rPr>
            </w:pPr>
            <w:r w:rsidRPr="003D75BA">
              <w:rPr>
                <w:sz w:val="18"/>
              </w:rPr>
              <w:t>46,2 (</w:t>
            </w:r>
            <w:r w:rsidRPr="003D75BA">
              <w:rPr>
                <w:i/>
                <w:iCs/>
                <w:sz w:val="18"/>
              </w:rPr>
              <w:t>4,0 x)</w:t>
            </w:r>
          </w:p>
        </w:tc>
        <w:tc>
          <w:tcPr>
            <w:tcW w:w="1467" w:type="dxa"/>
            <w:gridSpan w:val="2"/>
            <w:vAlign w:val="center"/>
          </w:tcPr>
          <w:p w14:paraId="619BBA96" w14:textId="77777777" w:rsidR="003D75BA" w:rsidRPr="003D75BA" w:rsidRDefault="003D75BA" w:rsidP="003D75BA">
            <w:pPr>
              <w:widowControl w:val="0"/>
              <w:spacing w:before="0" w:after="0"/>
              <w:ind w:right="57"/>
              <w:jc w:val="right"/>
              <w:rPr>
                <w:i/>
                <w:iCs/>
                <w:sz w:val="18"/>
              </w:rPr>
            </w:pPr>
            <w:r w:rsidRPr="003D75BA">
              <w:rPr>
                <w:sz w:val="18"/>
              </w:rPr>
              <w:t>48,5 (</w:t>
            </w:r>
            <w:r w:rsidRPr="003D75BA">
              <w:rPr>
                <w:i/>
                <w:iCs/>
                <w:sz w:val="18"/>
              </w:rPr>
              <w:t>4,8 x)</w:t>
            </w:r>
          </w:p>
        </w:tc>
      </w:tr>
      <w:tr w:rsidR="003D75BA" w:rsidRPr="003D75BA" w14:paraId="384ECE27" w14:textId="77777777" w:rsidTr="003412DE">
        <w:trPr>
          <w:gridAfter w:val="1"/>
          <w:wAfter w:w="22" w:type="dxa"/>
        </w:trPr>
        <w:tc>
          <w:tcPr>
            <w:tcW w:w="7230" w:type="dxa"/>
          </w:tcPr>
          <w:p w14:paraId="1B08EDFF" w14:textId="77777777" w:rsidR="003D75BA" w:rsidRPr="003D75BA" w:rsidRDefault="003D75BA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>Si sono avute una o più esperienze di liste di attesa in vista di ricoveri ospedalieri, per malattie/interventi di tipo serio-grave</w:t>
            </w:r>
          </w:p>
        </w:tc>
        <w:tc>
          <w:tcPr>
            <w:tcW w:w="1817" w:type="dxa"/>
            <w:vAlign w:val="center"/>
          </w:tcPr>
          <w:p w14:paraId="409F0F40" w14:textId="77777777" w:rsidR="003D75BA" w:rsidRPr="003D75BA" w:rsidRDefault="003D75BA" w:rsidP="006D68E5">
            <w:pPr>
              <w:widowControl w:val="0"/>
              <w:spacing w:before="0" w:after="0"/>
              <w:ind w:right="624"/>
              <w:jc w:val="right"/>
              <w:rPr>
                <w:sz w:val="18"/>
              </w:rPr>
            </w:pPr>
            <w:r w:rsidRPr="003D75BA">
              <w:rPr>
                <w:sz w:val="18"/>
              </w:rPr>
              <w:t>4,5</w:t>
            </w:r>
          </w:p>
        </w:tc>
        <w:tc>
          <w:tcPr>
            <w:tcW w:w="1435" w:type="dxa"/>
            <w:gridSpan w:val="3"/>
            <w:vAlign w:val="center"/>
          </w:tcPr>
          <w:p w14:paraId="3118EC42" w14:textId="77777777" w:rsidR="003D75BA" w:rsidRPr="003D75BA" w:rsidRDefault="003D75BA" w:rsidP="006D68E5">
            <w:pPr>
              <w:widowControl w:val="0"/>
              <w:spacing w:before="0" w:after="0"/>
              <w:ind w:right="454"/>
              <w:jc w:val="right"/>
              <w:rPr>
                <w:sz w:val="18"/>
              </w:rPr>
            </w:pPr>
            <w:r w:rsidRPr="003D75BA">
              <w:rPr>
                <w:sz w:val="18"/>
              </w:rPr>
              <w:t>5,5</w:t>
            </w:r>
          </w:p>
        </w:tc>
        <w:tc>
          <w:tcPr>
            <w:tcW w:w="1437" w:type="dxa"/>
            <w:gridSpan w:val="3"/>
            <w:vAlign w:val="center"/>
          </w:tcPr>
          <w:p w14:paraId="242C69EF" w14:textId="77777777" w:rsidR="003D75BA" w:rsidRPr="003D75BA" w:rsidRDefault="003D75BA" w:rsidP="003D75BA">
            <w:pPr>
              <w:widowControl w:val="0"/>
              <w:spacing w:before="0" w:after="0"/>
              <w:ind w:right="57"/>
              <w:jc w:val="right"/>
              <w:rPr>
                <w:i/>
                <w:iCs/>
                <w:sz w:val="18"/>
              </w:rPr>
            </w:pPr>
            <w:r w:rsidRPr="003D75BA">
              <w:rPr>
                <w:sz w:val="18"/>
              </w:rPr>
              <w:t>37,2 (</w:t>
            </w:r>
            <w:r w:rsidRPr="003D75BA">
              <w:rPr>
                <w:i/>
                <w:iCs/>
                <w:sz w:val="18"/>
              </w:rPr>
              <w:t>8,3 x)</w:t>
            </w:r>
          </w:p>
        </w:tc>
        <w:tc>
          <w:tcPr>
            <w:tcW w:w="1467" w:type="dxa"/>
            <w:gridSpan w:val="2"/>
            <w:vAlign w:val="center"/>
          </w:tcPr>
          <w:p w14:paraId="56E8B403" w14:textId="77777777" w:rsidR="003D75BA" w:rsidRPr="003D75BA" w:rsidRDefault="003D75BA" w:rsidP="003D75BA">
            <w:pPr>
              <w:widowControl w:val="0"/>
              <w:spacing w:before="0" w:after="0"/>
              <w:ind w:right="57"/>
              <w:jc w:val="right"/>
              <w:rPr>
                <w:i/>
                <w:iCs/>
                <w:sz w:val="18"/>
              </w:rPr>
            </w:pPr>
            <w:r w:rsidRPr="003D75BA">
              <w:rPr>
                <w:sz w:val="18"/>
              </w:rPr>
              <w:t>29,5 (</w:t>
            </w:r>
            <w:r w:rsidRPr="003D75BA">
              <w:rPr>
                <w:i/>
                <w:iCs/>
                <w:sz w:val="18"/>
              </w:rPr>
              <w:t>5,4 x)</w:t>
            </w:r>
          </w:p>
        </w:tc>
      </w:tr>
      <w:tr w:rsidR="003D75BA" w:rsidRPr="003D75BA" w14:paraId="30894B99" w14:textId="77777777" w:rsidTr="003412DE">
        <w:trPr>
          <w:gridAfter w:val="1"/>
          <w:wAfter w:w="22" w:type="dxa"/>
        </w:trPr>
        <w:tc>
          <w:tcPr>
            <w:tcW w:w="7230" w:type="dxa"/>
            <w:tcBorders>
              <w:bottom w:val="single" w:sz="4" w:space="0" w:color="auto"/>
            </w:tcBorders>
          </w:tcPr>
          <w:p w14:paraId="424779B2" w14:textId="77777777" w:rsidR="003D75BA" w:rsidRPr="003D75BA" w:rsidRDefault="003D75BA" w:rsidP="003D75BA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3D75BA">
              <w:rPr>
                <w:sz w:val="18"/>
              </w:rPr>
              <w:t>Si sono avute una o più esperienze di liste di attesa in vista di ricoveri ospedalieri, per malattie/interventi di tipo leggero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4B147F19" w14:textId="77777777" w:rsidR="003D75BA" w:rsidRPr="003D75BA" w:rsidRDefault="003D75BA" w:rsidP="006D68E5">
            <w:pPr>
              <w:widowControl w:val="0"/>
              <w:spacing w:before="0" w:after="0"/>
              <w:ind w:right="624"/>
              <w:jc w:val="right"/>
              <w:rPr>
                <w:sz w:val="18"/>
              </w:rPr>
            </w:pPr>
            <w:r w:rsidRPr="003D75BA">
              <w:rPr>
                <w:sz w:val="18"/>
              </w:rPr>
              <w:t>8,9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  <w:vAlign w:val="center"/>
          </w:tcPr>
          <w:p w14:paraId="6C5CCF53" w14:textId="77777777" w:rsidR="003D75BA" w:rsidRPr="003D75BA" w:rsidRDefault="003D75BA" w:rsidP="006D68E5">
            <w:pPr>
              <w:widowControl w:val="0"/>
              <w:spacing w:before="0" w:after="0"/>
              <w:ind w:right="454"/>
              <w:jc w:val="right"/>
              <w:rPr>
                <w:sz w:val="18"/>
              </w:rPr>
            </w:pPr>
            <w:r w:rsidRPr="003D75BA">
              <w:rPr>
                <w:sz w:val="18"/>
              </w:rPr>
              <w:t>7,9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14:paraId="3F8A9CE9" w14:textId="77777777" w:rsidR="003D75BA" w:rsidRPr="003D75BA" w:rsidRDefault="003D75BA" w:rsidP="003D75BA">
            <w:pPr>
              <w:widowControl w:val="0"/>
              <w:spacing w:before="0" w:after="0"/>
              <w:ind w:right="57"/>
              <w:jc w:val="right"/>
              <w:rPr>
                <w:i/>
                <w:iCs/>
                <w:sz w:val="18"/>
              </w:rPr>
            </w:pPr>
            <w:r w:rsidRPr="003D75BA">
              <w:rPr>
                <w:sz w:val="18"/>
              </w:rPr>
              <w:t>39,9 (</w:t>
            </w:r>
            <w:r w:rsidRPr="003D75BA">
              <w:rPr>
                <w:i/>
                <w:iCs/>
                <w:sz w:val="18"/>
              </w:rPr>
              <w:t>4,5 x)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14:paraId="43B276ED" w14:textId="77777777" w:rsidR="003D75BA" w:rsidRPr="003D75BA" w:rsidRDefault="003D75BA" w:rsidP="003D75BA">
            <w:pPr>
              <w:widowControl w:val="0"/>
              <w:spacing w:before="0" w:after="0"/>
              <w:ind w:right="57"/>
              <w:jc w:val="right"/>
              <w:rPr>
                <w:i/>
                <w:iCs/>
                <w:sz w:val="18"/>
              </w:rPr>
            </w:pPr>
            <w:r w:rsidRPr="003D75BA">
              <w:rPr>
                <w:sz w:val="18"/>
              </w:rPr>
              <w:t>39,7 (</w:t>
            </w:r>
            <w:r w:rsidRPr="003D75BA">
              <w:rPr>
                <w:i/>
                <w:iCs/>
                <w:sz w:val="18"/>
              </w:rPr>
              <w:t>5,0 x)</w:t>
            </w:r>
          </w:p>
        </w:tc>
      </w:tr>
    </w:tbl>
    <w:p w14:paraId="52A84933" w14:textId="2E72910B" w:rsidR="003412DE" w:rsidRPr="00241B57" w:rsidRDefault="003412DE" w:rsidP="003412DE">
      <w:pPr>
        <w:widowControl w:val="0"/>
        <w:tabs>
          <w:tab w:val="left" w:pos="8768"/>
        </w:tabs>
        <w:spacing w:before="0" w:after="0"/>
        <w:ind w:left="284" w:hanging="284"/>
        <w:rPr>
          <w:sz w:val="18"/>
        </w:rPr>
      </w:pPr>
      <w:r w:rsidRPr="00241B57">
        <w:rPr>
          <w:sz w:val="18"/>
        </w:rPr>
        <w:t>(°)</w:t>
      </w:r>
      <w:r w:rsidRPr="00241B57">
        <w:rPr>
          <w:sz w:val="18"/>
        </w:rPr>
        <w:tab/>
        <w:t xml:space="preserve">Cfr. Rapporto “Ospedali &amp; Salute/2021”, Parte prima/Tavola </w:t>
      </w:r>
      <w:r>
        <w:rPr>
          <w:sz w:val="18"/>
        </w:rPr>
        <w:t>2</w:t>
      </w:r>
      <w:r w:rsidRPr="00241B57">
        <w:rPr>
          <w:sz w:val="18"/>
        </w:rPr>
        <w:t>.</w:t>
      </w:r>
    </w:p>
    <w:p w14:paraId="0F767053" w14:textId="659486A9" w:rsidR="003D75BA" w:rsidRPr="003D75BA" w:rsidRDefault="003D75BA" w:rsidP="003D75BA">
      <w:pPr>
        <w:widowControl w:val="0"/>
        <w:spacing w:before="0" w:after="0"/>
        <w:rPr>
          <w:i/>
          <w:sz w:val="18"/>
        </w:rPr>
      </w:pPr>
      <w:r w:rsidRPr="003D75BA">
        <w:rPr>
          <w:sz w:val="18"/>
        </w:rPr>
        <w:t xml:space="preserve">Fonte: </w:t>
      </w:r>
      <w:r w:rsidRPr="003D75BA">
        <w:rPr>
          <w:i/>
          <w:sz w:val="18"/>
        </w:rPr>
        <w:t>indagine Ermeneia – Studi &amp; Strategie di Sistema, 2021</w:t>
      </w:r>
    </w:p>
    <w:p w14:paraId="5FEB4856" w14:textId="578C7A94" w:rsidR="004A5553" w:rsidRDefault="004A5553">
      <w:pPr>
        <w:spacing w:before="0" w:after="160" w:line="259" w:lineRule="auto"/>
        <w:jc w:val="left"/>
        <w:rPr>
          <w:sz w:val="18"/>
        </w:rPr>
      </w:pPr>
      <w:r>
        <w:rPr>
          <w:sz w:val="18"/>
        </w:rPr>
        <w:br w:type="page"/>
      </w:r>
    </w:p>
    <w:p w14:paraId="17B655AE" w14:textId="6D45CB9F" w:rsidR="004A5553" w:rsidRPr="004A5553" w:rsidRDefault="004A5553" w:rsidP="004A5553">
      <w:pPr>
        <w:widowControl w:val="0"/>
        <w:spacing w:before="0" w:after="0"/>
        <w:rPr>
          <w:i/>
          <w:iCs/>
          <w:sz w:val="18"/>
        </w:rPr>
      </w:pPr>
      <w:r w:rsidRPr="004A5553">
        <w:rPr>
          <w:i/>
          <w:iCs/>
          <w:sz w:val="18"/>
        </w:rPr>
        <w:lastRenderedPageBreak/>
        <w:t>Ta</w:t>
      </w:r>
      <w:r>
        <w:rPr>
          <w:i/>
          <w:iCs/>
          <w:sz w:val="18"/>
        </w:rPr>
        <w:t>b</w:t>
      </w:r>
      <w:r w:rsidRPr="004A5553">
        <w:rPr>
          <w:i/>
          <w:iCs/>
          <w:sz w:val="18"/>
        </w:rPr>
        <w:t xml:space="preserve"> </w:t>
      </w:r>
      <w:r>
        <w:rPr>
          <w:i/>
          <w:iCs/>
          <w:sz w:val="18"/>
        </w:rPr>
        <w:t>3</w:t>
      </w:r>
      <w:r w:rsidRPr="004A5553">
        <w:rPr>
          <w:i/>
          <w:iCs/>
          <w:sz w:val="18"/>
        </w:rPr>
        <w:t xml:space="preserve"> – Convergenze e divaricazioni di atteggiamenti e propensioni che tendono a polarizzarsi sia per la popolazione sia per i pazienti Covid-19 (val. %)</w:t>
      </w:r>
    </w:p>
    <w:tbl>
      <w:tblPr>
        <w:tblStyle w:val="Grigliatabella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9"/>
        <w:gridCol w:w="1781"/>
        <w:gridCol w:w="1782"/>
        <w:gridCol w:w="1785"/>
        <w:gridCol w:w="1782"/>
        <w:gridCol w:w="1791"/>
      </w:tblGrid>
      <w:tr w:rsidR="004A5553" w:rsidRPr="004A5553" w14:paraId="186BFFA5" w14:textId="77777777" w:rsidTr="00B84E5C">
        <w:tc>
          <w:tcPr>
            <w:tcW w:w="2161" w:type="pct"/>
            <w:tcBorders>
              <w:top w:val="single" w:sz="4" w:space="0" w:color="auto"/>
            </w:tcBorders>
            <w:vAlign w:val="center"/>
          </w:tcPr>
          <w:p w14:paraId="4901AD75" w14:textId="77777777" w:rsidR="004A5553" w:rsidRPr="004A5553" w:rsidRDefault="004A5553" w:rsidP="004A5553">
            <w:pPr>
              <w:widowControl w:val="0"/>
              <w:spacing w:before="0" w:after="0"/>
              <w:rPr>
                <w:i/>
                <w:iCs/>
                <w:sz w:val="18"/>
                <w:szCs w:val="20"/>
              </w:rPr>
            </w:pPr>
            <w:r w:rsidRPr="004A5553">
              <w:rPr>
                <w:i/>
                <w:iCs/>
                <w:sz w:val="18"/>
              </w:rPr>
              <w:t>Fenomeni</w:t>
            </w:r>
          </w:p>
        </w:tc>
        <w:tc>
          <w:tcPr>
            <w:tcW w:w="2839" w:type="pct"/>
            <w:gridSpan w:val="5"/>
            <w:tcBorders>
              <w:top w:val="single" w:sz="4" w:space="0" w:color="auto"/>
            </w:tcBorders>
            <w:vAlign w:val="bottom"/>
          </w:tcPr>
          <w:p w14:paraId="606832A6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rFonts w:eastAsia="Times New Roman" w:cs="Calibri"/>
                <w:i/>
                <w:iCs/>
                <w:sz w:val="18"/>
              </w:rPr>
            </w:pPr>
            <w:r w:rsidRPr="004A5553">
              <w:rPr>
                <w:rFonts w:eastAsia="Times New Roman" w:cs="Calibri"/>
                <w:i/>
                <w:iCs/>
                <w:sz w:val="18"/>
              </w:rPr>
              <w:t>Dati</w:t>
            </w:r>
          </w:p>
        </w:tc>
      </w:tr>
      <w:tr w:rsidR="004A5553" w:rsidRPr="004A5553" w14:paraId="08E94B55" w14:textId="77777777" w:rsidTr="00B84E5C">
        <w:tc>
          <w:tcPr>
            <w:tcW w:w="2161" w:type="pct"/>
            <w:vMerge w:val="restart"/>
            <w:tcBorders>
              <w:top w:val="single" w:sz="4" w:space="0" w:color="auto"/>
            </w:tcBorders>
            <w:vAlign w:val="bottom"/>
          </w:tcPr>
          <w:p w14:paraId="023B21A8" w14:textId="77777777" w:rsidR="004A5553" w:rsidRPr="004A5553" w:rsidRDefault="004A5553" w:rsidP="004A5553">
            <w:pPr>
              <w:widowControl w:val="0"/>
              <w:spacing w:before="0" w:after="0"/>
              <w:rPr>
                <w:sz w:val="18"/>
                <w:szCs w:val="20"/>
              </w:rPr>
            </w:pPr>
            <w:r w:rsidRPr="004A5553">
              <w:rPr>
                <w:i/>
                <w:iCs/>
                <w:sz w:val="18"/>
                <w:szCs w:val="20"/>
              </w:rPr>
              <w:t>Un confronto di atteggiamenti generali verso l’esperienza della pandemia</w:t>
            </w:r>
            <w:r w:rsidRPr="004A5553">
              <w:rPr>
                <w:sz w:val="18"/>
                <w:szCs w:val="20"/>
              </w:rPr>
              <w:t>: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</w:tcBorders>
            <w:vAlign w:val="bottom"/>
          </w:tcPr>
          <w:p w14:paraId="3186CCCD" w14:textId="6E27CB29" w:rsidR="004A5553" w:rsidRPr="004A5553" w:rsidRDefault="004A5553" w:rsidP="004A5553">
            <w:pPr>
              <w:widowControl w:val="0"/>
              <w:pBdr>
                <w:bottom w:val="single" w:sz="4" w:space="1" w:color="auto"/>
              </w:pBdr>
              <w:spacing w:before="0" w:after="0"/>
              <w:jc w:val="center"/>
              <w:rPr>
                <w:rFonts w:eastAsia="Times New Roman" w:cs="Calibri"/>
                <w:sz w:val="18"/>
                <w:vertAlign w:val="superscript"/>
              </w:rPr>
            </w:pPr>
            <w:r w:rsidRPr="004A5553">
              <w:rPr>
                <w:i/>
                <w:iCs/>
                <w:sz w:val="18"/>
                <w:szCs w:val="20"/>
              </w:rPr>
              <w:t>Popolazione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</w:tcBorders>
            <w:vAlign w:val="center"/>
          </w:tcPr>
          <w:p w14:paraId="1B6B92BE" w14:textId="77777777" w:rsidR="004A5553" w:rsidRPr="004A5553" w:rsidRDefault="004A5553" w:rsidP="004A5553">
            <w:pPr>
              <w:widowControl w:val="0"/>
              <w:pBdr>
                <w:bottom w:val="single" w:sz="4" w:space="1" w:color="auto"/>
              </w:pBdr>
              <w:spacing w:before="0" w:after="0"/>
              <w:jc w:val="center"/>
              <w:rPr>
                <w:rFonts w:eastAsia="Times New Roman" w:cs="Calibri"/>
                <w:i/>
                <w:iCs/>
                <w:sz w:val="18"/>
              </w:rPr>
            </w:pPr>
            <w:r w:rsidRPr="004A5553">
              <w:rPr>
                <w:rFonts w:eastAsia="Times New Roman" w:cs="Calibri"/>
                <w:i/>
                <w:iCs/>
                <w:sz w:val="18"/>
              </w:rPr>
              <w:t>Paz. Covid</w:t>
            </w:r>
          </w:p>
        </w:tc>
      </w:tr>
      <w:tr w:rsidR="004A5553" w:rsidRPr="004A5553" w14:paraId="799F5B41" w14:textId="77777777" w:rsidTr="00B84E5C">
        <w:tc>
          <w:tcPr>
            <w:tcW w:w="2161" w:type="pct"/>
            <w:vMerge/>
            <w:tcBorders>
              <w:top w:val="single" w:sz="4" w:space="0" w:color="auto"/>
            </w:tcBorders>
            <w:vAlign w:val="center"/>
          </w:tcPr>
          <w:p w14:paraId="78FBBA37" w14:textId="77777777" w:rsidR="004A5553" w:rsidRPr="004A5553" w:rsidRDefault="004A5553" w:rsidP="004A5553">
            <w:pPr>
              <w:widowControl w:val="0"/>
              <w:spacing w:before="0"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pct"/>
            <w:vAlign w:val="bottom"/>
          </w:tcPr>
          <w:p w14:paraId="6C23D4FA" w14:textId="07A9CC0C" w:rsidR="004A5553" w:rsidRPr="004A5553" w:rsidRDefault="004A5553" w:rsidP="004A5553">
            <w:pPr>
              <w:widowControl w:val="0"/>
              <w:pBdr>
                <w:bottom w:val="single" w:sz="4" w:space="1" w:color="auto"/>
              </w:pBdr>
              <w:spacing w:before="0" w:after="0"/>
              <w:jc w:val="center"/>
              <w:rPr>
                <w:i/>
                <w:iCs/>
                <w:sz w:val="18"/>
                <w:szCs w:val="20"/>
              </w:rPr>
            </w:pPr>
            <w:r w:rsidRPr="004A5553">
              <w:rPr>
                <w:rFonts w:eastAsia="Times New Roman" w:cs="Times New Roman"/>
                <w:i/>
                <w:iCs/>
                <w:sz w:val="18"/>
                <w:szCs w:val="20"/>
              </w:rPr>
              <w:t>2020</w:t>
            </w:r>
          </w:p>
        </w:tc>
        <w:tc>
          <w:tcPr>
            <w:tcW w:w="1135" w:type="pct"/>
            <w:gridSpan w:val="2"/>
            <w:vAlign w:val="bottom"/>
          </w:tcPr>
          <w:p w14:paraId="35AE648C" w14:textId="1805AE6C" w:rsidR="004A5553" w:rsidRPr="004A5553" w:rsidRDefault="004A5553" w:rsidP="004A5553">
            <w:pPr>
              <w:widowControl w:val="0"/>
              <w:pBdr>
                <w:bottom w:val="single" w:sz="4" w:space="1" w:color="auto"/>
              </w:pBdr>
              <w:spacing w:before="0" w:after="0"/>
              <w:jc w:val="center"/>
              <w:rPr>
                <w:rFonts w:eastAsia="Times New Roman" w:cs="Calibri"/>
                <w:sz w:val="18"/>
                <w:vertAlign w:val="superscript"/>
              </w:rPr>
            </w:pPr>
            <w:r w:rsidRPr="004A5553">
              <w:rPr>
                <w:i/>
                <w:iCs/>
                <w:sz w:val="18"/>
                <w:szCs w:val="20"/>
              </w:rPr>
              <w:t>2021</w:t>
            </w:r>
          </w:p>
        </w:tc>
        <w:tc>
          <w:tcPr>
            <w:tcW w:w="1137" w:type="pct"/>
            <w:gridSpan w:val="2"/>
            <w:vAlign w:val="center"/>
          </w:tcPr>
          <w:p w14:paraId="7E540DB9" w14:textId="2D011258" w:rsidR="004A5553" w:rsidRPr="004A5553" w:rsidRDefault="004A5553" w:rsidP="004A5553">
            <w:pPr>
              <w:widowControl w:val="0"/>
              <w:pBdr>
                <w:bottom w:val="single" w:sz="4" w:space="1" w:color="auto"/>
              </w:pBdr>
              <w:spacing w:before="0" w:after="0"/>
              <w:jc w:val="center"/>
              <w:rPr>
                <w:rFonts w:eastAsia="Times New Roman" w:cs="Calibri"/>
                <w:i/>
                <w:iCs/>
                <w:sz w:val="18"/>
              </w:rPr>
            </w:pPr>
            <w:r w:rsidRPr="004A5553">
              <w:rPr>
                <w:i/>
                <w:iCs/>
                <w:sz w:val="18"/>
                <w:szCs w:val="20"/>
              </w:rPr>
              <w:t>2021</w:t>
            </w:r>
          </w:p>
        </w:tc>
      </w:tr>
      <w:tr w:rsidR="004A5553" w:rsidRPr="004A5553" w14:paraId="3917D85E" w14:textId="77777777" w:rsidTr="00B84E5C">
        <w:tc>
          <w:tcPr>
            <w:tcW w:w="2161" w:type="pct"/>
            <w:vMerge/>
            <w:vAlign w:val="center"/>
          </w:tcPr>
          <w:p w14:paraId="717CBFED" w14:textId="77777777" w:rsidR="004A5553" w:rsidRPr="004A5553" w:rsidRDefault="004A5553" w:rsidP="004A5553">
            <w:pPr>
              <w:widowControl w:val="0"/>
              <w:spacing w:before="0"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pct"/>
          </w:tcPr>
          <w:p w14:paraId="59DBD5EA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sz w:val="18"/>
                <w:szCs w:val="20"/>
                <w:vertAlign w:val="superscript"/>
              </w:rPr>
            </w:pPr>
            <w:r w:rsidRPr="004A5553">
              <w:rPr>
                <w:i/>
                <w:iCs/>
                <w:sz w:val="18"/>
                <w:szCs w:val="20"/>
              </w:rPr>
              <w:t>Molto + Abb d’accordo</w:t>
            </w:r>
          </w:p>
        </w:tc>
        <w:tc>
          <w:tcPr>
            <w:tcW w:w="567" w:type="pct"/>
          </w:tcPr>
          <w:p w14:paraId="61AA64B9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rFonts w:cs="Calibri"/>
                <w:i/>
                <w:iCs/>
                <w:sz w:val="18"/>
              </w:rPr>
            </w:pPr>
            <w:r w:rsidRPr="004A5553">
              <w:rPr>
                <w:i/>
                <w:iCs/>
                <w:sz w:val="18"/>
                <w:szCs w:val="20"/>
              </w:rPr>
              <w:t>Molto + Abb. d’accordo</w:t>
            </w:r>
          </w:p>
        </w:tc>
        <w:tc>
          <w:tcPr>
            <w:tcW w:w="568" w:type="pct"/>
          </w:tcPr>
          <w:p w14:paraId="60E6EA91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rFonts w:eastAsia="Times New Roman" w:cs="Times New Roman"/>
                <w:i/>
                <w:iCs/>
                <w:sz w:val="18"/>
                <w:szCs w:val="20"/>
              </w:rPr>
            </w:pPr>
            <w:r w:rsidRPr="004A5553">
              <w:rPr>
                <w:i/>
                <w:iCs/>
                <w:sz w:val="18"/>
                <w:szCs w:val="20"/>
              </w:rPr>
              <w:t>Poco + Per nulla d’accordo</w:t>
            </w:r>
          </w:p>
        </w:tc>
        <w:tc>
          <w:tcPr>
            <w:tcW w:w="567" w:type="pct"/>
          </w:tcPr>
          <w:p w14:paraId="15C1A2F5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rFonts w:eastAsia="Times New Roman" w:cs="Calibri"/>
                <w:i/>
                <w:iCs/>
                <w:sz w:val="18"/>
              </w:rPr>
            </w:pPr>
            <w:r w:rsidRPr="004A5553">
              <w:rPr>
                <w:i/>
                <w:iCs/>
                <w:sz w:val="18"/>
                <w:szCs w:val="20"/>
              </w:rPr>
              <w:t>Molto + Abb. d’accordo</w:t>
            </w:r>
          </w:p>
        </w:tc>
        <w:tc>
          <w:tcPr>
            <w:tcW w:w="570" w:type="pct"/>
          </w:tcPr>
          <w:p w14:paraId="40954228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i/>
                <w:iCs/>
                <w:sz w:val="18"/>
                <w:szCs w:val="20"/>
              </w:rPr>
            </w:pPr>
            <w:r w:rsidRPr="004A5553">
              <w:rPr>
                <w:i/>
                <w:iCs/>
                <w:sz w:val="18"/>
                <w:szCs w:val="20"/>
              </w:rPr>
              <w:t>Poco + Per nulla d’accordo</w:t>
            </w:r>
          </w:p>
        </w:tc>
      </w:tr>
      <w:tr w:rsidR="004A5553" w:rsidRPr="004A5553" w14:paraId="2C7C3417" w14:textId="77777777" w:rsidTr="00B84E5C">
        <w:tc>
          <w:tcPr>
            <w:tcW w:w="2161" w:type="pct"/>
            <w:vAlign w:val="center"/>
          </w:tcPr>
          <w:p w14:paraId="62D44DD6" w14:textId="77777777" w:rsidR="004A5553" w:rsidRPr="004A5553" w:rsidRDefault="004A5553" w:rsidP="004A5553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4A5553">
              <w:rPr>
                <w:sz w:val="18"/>
              </w:rPr>
              <w:t>Bisogna accettare l’idea che dalla pandemia Covid-19 non siamo ancora usciti e quindi dovremo imparare a conviverci ancora (per uno/due anni?)</w:t>
            </w:r>
          </w:p>
        </w:tc>
        <w:tc>
          <w:tcPr>
            <w:tcW w:w="567" w:type="pct"/>
            <w:vAlign w:val="center"/>
          </w:tcPr>
          <w:p w14:paraId="05BAF3B8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sz w:val="18"/>
                <w:szCs w:val="20"/>
              </w:rPr>
            </w:pPr>
            <w:r w:rsidRPr="004A5553">
              <w:rPr>
                <w:rFonts w:cs="Calibri"/>
                <w:sz w:val="18"/>
              </w:rPr>
              <w:t>90,7</w:t>
            </w:r>
          </w:p>
        </w:tc>
        <w:tc>
          <w:tcPr>
            <w:tcW w:w="567" w:type="pct"/>
            <w:vAlign w:val="center"/>
          </w:tcPr>
          <w:p w14:paraId="70249FAD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75,8</w:t>
            </w:r>
          </w:p>
        </w:tc>
        <w:tc>
          <w:tcPr>
            <w:tcW w:w="568" w:type="pct"/>
            <w:vAlign w:val="center"/>
          </w:tcPr>
          <w:p w14:paraId="480E94C7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4A5553">
              <w:rPr>
                <w:rFonts w:eastAsia="Times New Roman" w:cs="Times New Roman"/>
                <w:sz w:val="18"/>
                <w:szCs w:val="20"/>
              </w:rPr>
              <w:t>14,4</w:t>
            </w:r>
          </w:p>
        </w:tc>
        <w:tc>
          <w:tcPr>
            <w:tcW w:w="567" w:type="pct"/>
            <w:vAlign w:val="center"/>
          </w:tcPr>
          <w:p w14:paraId="726E638B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eastAsia="Times New Roman" w:cs="Calibri"/>
                <w:sz w:val="18"/>
              </w:rPr>
            </w:pPr>
            <w:r w:rsidRPr="004A5553">
              <w:rPr>
                <w:rFonts w:cs="Calibri"/>
                <w:sz w:val="18"/>
              </w:rPr>
              <w:t>68,5</w:t>
            </w:r>
          </w:p>
        </w:tc>
        <w:tc>
          <w:tcPr>
            <w:tcW w:w="570" w:type="pct"/>
            <w:vAlign w:val="center"/>
          </w:tcPr>
          <w:p w14:paraId="0FEDAFC1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25,8</w:t>
            </w:r>
          </w:p>
        </w:tc>
      </w:tr>
      <w:tr w:rsidR="004A5553" w:rsidRPr="004A5553" w14:paraId="2B766F42" w14:textId="77777777" w:rsidTr="00B84E5C">
        <w:tc>
          <w:tcPr>
            <w:tcW w:w="2161" w:type="pct"/>
            <w:vAlign w:val="center"/>
          </w:tcPr>
          <w:p w14:paraId="33E719F1" w14:textId="77777777" w:rsidR="004A5553" w:rsidRPr="004A5553" w:rsidRDefault="004A5553" w:rsidP="004A5553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4A5553">
              <w:rPr>
                <w:sz w:val="18"/>
              </w:rPr>
              <w:t>La disponibilità del vaccino e l’accelerazione dei pro</w:t>
            </w:r>
            <w:r w:rsidRPr="004A5553">
              <w:rPr>
                <w:sz w:val="18"/>
              </w:rPr>
              <w:softHyphen/>
              <w:t>cessi di sommini</w:t>
            </w:r>
            <w:r w:rsidRPr="004A5553">
              <w:rPr>
                <w:sz w:val="18"/>
              </w:rPr>
              <w:softHyphen/>
              <w:t>strazione hanno contribuito a ridurre drasticamente l’impatto sulle strut</w:t>
            </w:r>
            <w:r w:rsidRPr="004A5553">
              <w:rPr>
                <w:sz w:val="18"/>
              </w:rPr>
              <w:softHyphen/>
              <w:t>ture ospedaliere e sul numero di decessi, ma bisognerebbe allargare ul</w:t>
            </w:r>
            <w:r w:rsidRPr="004A5553">
              <w:rPr>
                <w:sz w:val="18"/>
              </w:rPr>
              <w:softHyphen/>
              <w:t>teriormente la quota dei vaccinati se si vuol tornare ad una vita più nor</w:t>
            </w:r>
            <w:r w:rsidRPr="004A5553">
              <w:rPr>
                <w:sz w:val="18"/>
              </w:rPr>
              <w:softHyphen/>
              <w:t>male</w:t>
            </w:r>
          </w:p>
        </w:tc>
        <w:tc>
          <w:tcPr>
            <w:tcW w:w="567" w:type="pct"/>
            <w:vAlign w:val="center"/>
          </w:tcPr>
          <w:p w14:paraId="43DB063F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sz w:val="18"/>
                <w:szCs w:val="20"/>
              </w:rPr>
            </w:pPr>
            <w:r w:rsidRPr="004A5553">
              <w:rPr>
                <w:rFonts w:cs="Calibri"/>
                <w:sz w:val="18"/>
              </w:rPr>
              <w:t>n.d.</w:t>
            </w:r>
          </w:p>
        </w:tc>
        <w:tc>
          <w:tcPr>
            <w:tcW w:w="567" w:type="pct"/>
            <w:vAlign w:val="center"/>
          </w:tcPr>
          <w:p w14:paraId="448B749B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68,5</w:t>
            </w:r>
          </w:p>
        </w:tc>
        <w:tc>
          <w:tcPr>
            <w:tcW w:w="568" w:type="pct"/>
            <w:vAlign w:val="center"/>
          </w:tcPr>
          <w:p w14:paraId="3505305B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4A5553">
              <w:rPr>
                <w:rFonts w:eastAsia="Times New Roman" w:cs="Times New Roman"/>
                <w:sz w:val="18"/>
                <w:szCs w:val="20"/>
              </w:rPr>
              <w:t>19,9</w:t>
            </w:r>
          </w:p>
        </w:tc>
        <w:tc>
          <w:tcPr>
            <w:tcW w:w="567" w:type="pct"/>
            <w:vAlign w:val="center"/>
          </w:tcPr>
          <w:p w14:paraId="231CE8EE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eastAsia="Times New Roman" w:cs="Calibri"/>
                <w:sz w:val="18"/>
              </w:rPr>
            </w:pPr>
            <w:r w:rsidRPr="004A5553">
              <w:rPr>
                <w:rFonts w:cs="Calibri"/>
                <w:sz w:val="18"/>
              </w:rPr>
              <w:t>57,6</w:t>
            </w:r>
          </w:p>
        </w:tc>
        <w:tc>
          <w:tcPr>
            <w:tcW w:w="570" w:type="pct"/>
            <w:vAlign w:val="center"/>
          </w:tcPr>
          <w:p w14:paraId="2720AC15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31,4</w:t>
            </w:r>
          </w:p>
        </w:tc>
      </w:tr>
      <w:tr w:rsidR="004A5553" w:rsidRPr="004A5553" w14:paraId="310BCA65" w14:textId="77777777" w:rsidTr="00B84E5C">
        <w:tc>
          <w:tcPr>
            <w:tcW w:w="2161" w:type="pct"/>
            <w:vAlign w:val="center"/>
          </w:tcPr>
          <w:p w14:paraId="7996F158" w14:textId="77777777" w:rsidR="004A5553" w:rsidRPr="004A5553" w:rsidRDefault="004A5553" w:rsidP="004A5553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4A5553">
              <w:rPr>
                <w:sz w:val="18"/>
              </w:rPr>
              <w:t>Bisogna saper recuperare il valore dei doveri oltre che le aspettative dei diritti, visto che la libertà indivi</w:t>
            </w:r>
            <w:r w:rsidRPr="004A5553">
              <w:rPr>
                <w:sz w:val="18"/>
              </w:rPr>
              <w:softHyphen/>
              <w:t>duale (in questo caso di vaccinarsi o meno) deve es</w:t>
            </w:r>
            <w:r w:rsidRPr="004A5553">
              <w:rPr>
                <w:sz w:val="18"/>
              </w:rPr>
              <w:softHyphen/>
              <w:t>sere bilanciata dall’onere di preservare, attraverso la vac</w:t>
            </w:r>
            <w:r w:rsidRPr="004A5553">
              <w:rPr>
                <w:sz w:val="18"/>
              </w:rPr>
              <w:softHyphen/>
              <w:t>cinazione, la salute della comunità in cui si vive</w:t>
            </w:r>
          </w:p>
        </w:tc>
        <w:tc>
          <w:tcPr>
            <w:tcW w:w="567" w:type="pct"/>
            <w:vAlign w:val="center"/>
          </w:tcPr>
          <w:p w14:paraId="2EB5A9EA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sz w:val="18"/>
                <w:szCs w:val="20"/>
              </w:rPr>
            </w:pPr>
            <w:r w:rsidRPr="004A5553">
              <w:rPr>
                <w:rFonts w:cs="Calibri"/>
                <w:sz w:val="18"/>
              </w:rPr>
              <w:t>81,6</w:t>
            </w:r>
          </w:p>
        </w:tc>
        <w:tc>
          <w:tcPr>
            <w:tcW w:w="567" w:type="pct"/>
            <w:vAlign w:val="center"/>
          </w:tcPr>
          <w:p w14:paraId="0A44540C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70,9</w:t>
            </w:r>
          </w:p>
        </w:tc>
        <w:tc>
          <w:tcPr>
            <w:tcW w:w="568" w:type="pct"/>
            <w:vAlign w:val="center"/>
          </w:tcPr>
          <w:p w14:paraId="7A590242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4A5553">
              <w:rPr>
                <w:rFonts w:eastAsia="Times New Roman" w:cs="Times New Roman"/>
                <w:sz w:val="18"/>
                <w:szCs w:val="20"/>
              </w:rPr>
              <w:t>16,6</w:t>
            </w:r>
          </w:p>
        </w:tc>
        <w:tc>
          <w:tcPr>
            <w:tcW w:w="567" w:type="pct"/>
            <w:vAlign w:val="center"/>
          </w:tcPr>
          <w:p w14:paraId="43B89D21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eastAsia="Times New Roman" w:cs="Calibri"/>
                <w:sz w:val="18"/>
              </w:rPr>
            </w:pPr>
            <w:r w:rsidRPr="004A5553">
              <w:rPr>
                <w:rFonts w:cs="Calibri"/>
                <w:sz w:val="18"/>
              </w:rPr>
              <w:t>58,6</w:t>
            </w:r>
          </w:p>
        </w:tc>
        <w:tc>
          <w:tcPr>
            <w:tcW w:w="570" w:type="pct"/>
            <w:vAlign w:val="center"/>
          </w:tcPr>
          <w:p w14:paraId="1C70DE45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32,2</w:t>
            </w:r>
          </w:p>
        </w:tc>
      </w:tr>
      <w:tr w:rsidR="004A5553" w:rsidRPr="004A5553" w14:paraId="2C009848" w14:textId="77777777" w:rsidTr="00B84E5C">
        <w:tc>
          <w:tcPr>
            <w:tcW w:w="2161" w:type="pct"/>
            <w:vAlign w:val="center"/>
          </w:tcPr>
          <w:p w14:paraId="2C60498D" w14:textId="77777777" w:rsidR="004A5553" w:rsidRPr="004A5553" w:rsidRDefault="004A5553" w:rsidP="004A5553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4A5553">
              <w:rPr>
                <w:sz w:val="18"/>
              </w:rPr>
              <w:t>Bisogna riscoprire il desiderio di ricominciare un ci</w:t>
            </w:r>
            <w:r w:rsidRPr="004A5553">
              <w:rPr>
                <w:sz w:val="18"/>
              </w:rPr>
              <w:softHyphen/>
              <w:t>clo nuovo, personale e collettivo, che necessita del doppio impegno della Società e contempo</w:t>
            </w:r>
            <w:r w:rsidRPr="004A5553">
              <w:rPr>
                <w:sz w:val="18"/>
              </w:rPr>
              <w:softHyphen/>
              <w:t>ra</w:t>
            </w:r>
            <w:r w:rsidRPr="004A5553">
              <w:rPr>
                <w:sz w:val="18"/>
              </w:rPr>
              <w:softHyphen/>
              <w:t>nea</w:t>
            </w:r>
            <w:r w:rsidRPr="004A5553">
              <w:rPr>
                <w:sz w:val="18"/>
              </w:rPr>
              <w:softHyphen/>
              <w:t>mente dello Stato (grazie anche alle risorse europee), visto che nes</w:t>
            </w:r>
            <w:r w:rsidRPr="004A5553">
              <w:rPr>
                <w:sz w:val="18"/>
              </w:rPr>
              <w:softHyphen/>
              <w:t>suno dei due soggetti, singolarmente presi, può bastare a riavviare il cam</w:t>
            </w:r>
            <w:r w:rsidRPr="004A5553">
              <w:rPr>
                <w:sz w:val="18"/>
              </w:rPr>
              <w:softHyphen/>
              <w:t>mino dello sviluppo</w:t>
            </w:r>
          </w:p>
        </w:tc>
        <w:tc>
          <w:tcPr>
            <w:tcW w:w="567" w:type="pct"/>
            <w:vAlign w:val="center"/>
          </w:tcPr>
          <w:p w14:paraId="04F27D4B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sz w:val="18"/>
                <w:szCs w:val="20"/>
              </w:rPr>
            </w:pPr>
            <w:r w:rsidRPr="004A5553">
              <w:rPr>
                <w:rFonts w:cs="Calibri"/>
                <w:sz w:val="18"/>
              </w:rPr>
              <w:t>84,2</w:t>
            </w:r>
          </w:p>
        </w:tc>
        <w:tc>
          <w:tcPr>
            <w:tcW w:w="567" w:type="pct"/>
            <w:vAlign w:val="center"/>
          </w:tcPr>
          <w:p w14:paraId="65BD5C44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70,1</w:t>
            </w:r>
          </w:p>
        </w:tc>
        <w:tc>
          <w:tcPr>
            <w:tcW w:w="568" w:type="pct"/>
            <w:vAlign w:val="center"/>
          </w:tcPr>
          <w:p w14:paraId="2C899B7C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4A5553">
              <w:rPr>
                <w:rFonts w:eastAsia="Times New Roman" w:cs="Times New Roman"/>
                <w:sz w:val="18"/>
                <w:szCs w:val="20"/>
              </w:rPr>
              <w:t>16,9</w:t>
            </w:r>
          </w:p>
        </w:tc>
        <w:tc>
          <w:tcPr>
            <w:tcW w:w="567" w:type="pct"/>
            <w:vAlign w:val="center"/>
          </w:tcPr>
          <w:p w14:paraId="361EA469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eastAsia="Times New Roman" w:cs="Calibri"/>
                <w:sz w:val="18"/>
              </w:rPr>
            </w:pPr>
            <w:r w:rsidRPr="004A5553">
              <w:rPr>
                <w:rFonts w:cs="Calibri"/>
                <w:sz w:val="18"/>
              </w:rPr>
              <w:t>58,6</w:t>
            </w:r>
          </w:p>
        </w:tc>
        <w:tc>
          <w:tcPr>
            <w:tcW w:w="570" w:type="pct"/>
            <w:vAlign w:val="center"/>
          </w:tcPr>
          <w:p w14:paraId="50962B1B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28,6</w:t>
            </w:r>
          </w:p>
        </w:tc>
      </w:tr>
      <w:tr w:rsidR="004A5553" w:rsidRPr="004A5553" w14:paraId="62BD242C" w14:textId="77777777" w:rsidTr="00B84E5C">
        <w:tc>
          <w:tcPr>
            <w:tcW w:w="2161" w:type="pct"/>
            <w:vMerge w:val="restart"/>
            <w:vAlign w:val="bottom"/>
          </w:tcPr>
          <w:p w14:paraId="2DDEC418" w14:textId="1D297AC9" w:rsidR="004A5553" w:rsidRPr="004A5553" w:rsidRDefault="004A5553" w:rsidP="004A5553">
            <w:pPr>
              <w:widowControl w:val="0"/>
              <w:spacing w:before="0" w:after="0"/>
              <w:rPr>
                <w:i/>
                <w:iCs/>
                <w:sz w:val="18"/>
              </w:rPr>
            </w:pPr>
            <w:r w:rsidRPr="004A5553">
              <w:rPr>
                <w:i/>
                <w:iCs/>
                <w:sz w:val="18"/>
              </w:rPr>
              <w:t xml:space="preserve">Una più che discreta accettazione dell’idea del </w:t>
            </w:r>
            <w:r w:rsidRPr="004A5553">
              <w:rPr>
                <w:sz w:val="18"/>
              </w:rPr>
              <w:t>Green pass</w:t>
            </w:r>
            <w:r w:rsidRPr="004A5553">
              <w:rPr>
                <w:i/>
                <w:iCs/>
                <w:sz w:val="18"/>
              </w:rPr>
              <w:t xml:space="preserve"> da parte della po</w:t>
            </w:r>
            <w:r w:rsidRPr="004A5553">
              <w:rPr>
                <w:i/>
                <w:iCs/>
                <w:sz w:val="18"/>
              </w:rPr>
              <w:softHyphen/>
              <w:t>polazione e anche dei pazienti Covid, ma con una marcata polariz</w:t>
            </w:r>
            <w:r w:rsidRPr="004A5553">
              <w:rPr>
                <w:i/>
                <w:iCs/>
                <w:sz w:val="18"/>
              </w:rPr>
              <w:softHyphen/>
              <w:t>zazione</w:t>
            </w:r>
            <w:r w:rsidRPr="004A5553">
              <w:rPr>
                <w:sz w:val="18"/>
              </w:rPr>
              <w:t>:</w:t>
            </w:r>
          </w:p>
        </w:tc>
        <w:tc>
          <w:tcPr>
            <w:tcW w:w="567" w:type="pct"/>
            <w:vAlign w:val="center"/>
          </w:tcPr>
          <w:p w14:paraId="5615A090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rFonts w:cs="Calibri"/>
                <w:sz w:val="18"/>
              </w:rPr>
            </w:pPr>
          </w:p>
        </w:tc>
        <w:tc>
          <w:tcPr>
            <w:tcW w:w="1135" w:type="pct"/>
            <w:gridSpan w:val="2"/>
            <w:vAlign w:val="center"/>
          </w:tcPr>
          <w:p w14:paraId="16BD97F8" w14:textId="5B582911" w:rsidR="004A5553" w:rsidRPr="004A5553" w:rsidRDefault="004A5553" w:rsidP="004A5553">
            <w:pPr>
              <w:widowControl w:val="0"/>
              <w:pBdr>
                <w:bottom w:val="single" w:sz="4" w:space="0" w:color="auto"/>
              </w:pBdr>
              <w:spacing w:before="0" w:after="0"/>
              <w:jc w:val="center"/>
              <w:rPr>
                <w:rFonts w:cs="Calibri"/>
                <w:sz w:val="18"/>
              </w:rPr>
            </w:pPr>
            <w:r w:rsidRPr="004A5553">
              <w:rPr>
                <w:i/>
                <w:iCs/>
                <w:sz w:val="18"/>
                <w:szCs w:val="20"/>
              </w:rPr>
              <w:t>Popolazione</w:t>
            </w:r>
          </w:p>
        </w:tc>
        <w:tc>
          <w:tcPr>
            <w:tcW w:w="1137" w:type="pct"/>
            <w:gridSpan w:val="2"/>
            <w:vAlign w:val="bottom"/>
          </w:tcPr>
          <w:p w14:paraId="027BCEE7" w14:textId="77777777" w:rsidR="004A5553" w:rsidRPr="004A5553" w:rsidRDefault="004A5553" w:rsidP="004A5553">
            <w:pPr>
              <w:widowControl w:val="0"/>
              <w:pBdr>
                <w:bottom w:val="single" w:sz="4" w:space="0" w:color="auto"/>
              </w:pBdr>
              <w:spacing w:before="0" w:after="0"/>
              <w:jc w:val="center"/>
              <w:rPr>
                <w:rFonts w:cs="Calibri"/>
                <w:sz w:val="18"/>
              </w:rPr>
            </w:pPr>
            <w:r w:rsidRPr="004A5553">
              <w:rPr>
                <w:rFonts w:eastAsia="Times New Roman" w:cs="Calibri"/>
                <w:i/>
                <w:iCs/>
                <w:sz w:val="18"/>
              </w:rPr>
              <w:t>Pazienti Covid</w:t>
            </w:r>
          </w:p>
        </w:tc>
      </w:tr>
      <w:tr w:rsidR="004A5553" w:rsidRPr="004A5553" w14:paraId="691CC446" w14:textId="77777777" w:rsidTr="00B84E5C">
        <w:tc>
          <w:tcPr>
            <w:tcW w:w="2161" w:type="pct"/>
            <w:vMerge/>
            <w:vAlign w:val="center"/>
          </w:tcPr>
          <w:p w14:paraId="0D2184EE" w14:textId="77777777" w:rsidR="004A5553" w:rsidRPr="004A5553" w:rsidRDefault="004A5553" w:rsidP="004A5553">
            <w:pPr>
              <w:widowControl w:val="0"/>
              <w:spacing w:before="0" w:after="0"/>
              <w:rPr>
                <w:i/>
                <w:iCs/>
                <w:sz w:val="18"/>
              </w:rPr>
            </w:pPr>
          </w:p>
        </w:tc>
        <w:tc>
          <w:tcPr>
            <w:tcW w:w="567" w:type="pct"/>
          </w:tcPr>
          <w:p w14:paraId="59F559E1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pct"/>
          </w:tcPr>
          <w:p w14:paraId="3485E827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rFonts w:cs="Calibri"/>
                <w:sz w:val="18"/>
              </w:rPr>
            </w:pPr>
            <w:r w:rsidRPr="004A5553">
              <w:rPr>
                <w:i/>
                <w:iCs/>
                <w:sz w:val="18"/>
                <w:szCs w:val="20"/>
              </w:rPr>
              <w:t>Molto + Abb. d’accordo</w:t>
            </w:r>
          </w:p>
        </w:tc>
        <w:tc>
          <w:tcPr>
            <w:tcW w:w="568" w:type="pct"/>
          </w:tcPr>
          <w:p w14:paraId="1027EABA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i/>
                <w:iCs/>
                <w:sz w:val="18"/>
                <w:szCs w:val="20"/>
              </w:rPr>
            </w:pPr>
            <w:r w:rsidRPr="004A5553">
              <w:rPr>
                <w:i/>
                <w:iCs/>
                <w:sz w:val="18"/>
                <w:szCs w:val="20"/>
              </w:rPr>
              <w:t>Poco + Per nulla d’accordo</w:t>
            </w:r>
          </w:p>
        </w:tc>
        <w:tc>
          <w:tcPr>
            <w:tcW w:w="567" w:type="pct"/>
          </w:tcPr>
          <w:p w14:paraId="66648AC7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rFonts w:eastAsia="Times New Roman" w:cs="Calibri"/>
                <w:i/>
                <w:iCs/>
                <w:sz w:val="18"/>
              </w:rPr>
            </w:pPr>
            <w:r w:rsidRPr="004A5553">
              <w:rPr>
                <w:i/>
                <w:iCs/>
                <w:sz w:val="18"/>
                <w:szCs w:val="20"/>
              </w:rPr>
              <w:t>Molto + Abb. d’accordo</w:t>
            </w:r>
          </w:p>
        </w:tc>
        <w:tc>
          <w:tcPr>
            <w:tcW w:w="570" w:type="pct"/>
          </w:tcPr>
          <w:p w14:paraId="3A2CF0C0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i/>
                <w:iCs/>
                <w:sz w:val="18"/>
                <w:szCs w:val="20"/>
              </w:rPr>
            </w:pPr>
            <w:r w:rsidRPr="004A5553">
              <w:rPr>
                <w:i/>
                <w:iCs/>
                <w:sz w:val="18"/>
                <w:szCs w:val="20"/>
              </w:rPr>
              <w:t>Poco + Per nulla d’accordo</w:t>
            </w:r>
          </w:p>
        </w:tc>
      </w:tr>
      <w:tr w:rsidR="004A5553" w:rsidRPr="004A5553" w14:paraId="14EA1E9C" w14:textId="77777777" w:rsidTr="00B84E5C">
        <w:tc>
          <w:tcPr>
            <w:tcW w:w="2161" w:type="pct"/>
            <w:vAlign w:val="center"/>
          </w:tcPr>
          <w:p w14:paraId="0FA2990F" w14:textId="77777777" w:rsidR="004A5553" w:rsidRPr="004A5553" w:rsidRDefault="004A5553" w:rsidP="004A5553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4A5553">
              <w:rPr>
                <w:sz w:val="18"/>
              </w:rPr>
              <w:t>È una buona idea, poiché aiuta sul piano delle rela</w:t>
            </w:r>
            <w:r w:rsidRPr="004A5553">
              <w:rPr>
                <w:sz w:val="18"/>
              </w:rPr>
              <w:softHyphen/>
              <w:t>zioni interpersonali e sulla ripresa delle attività eco</w:t>
            </w:r>
            <w:r w:rsidRPr="004A5553">
              <w:rPr>
                <w:sz w:val="18"/>
              </w:rPr>
              <w:softHyphen/>
              <w:t xml:space="preserve">nomiche e sociali </w:t>
            </w:r>
          </w:p>
        </w:tc>
        <w:tc>
          <w:tcPr>
            <w:tcW w:w="567" w:type="pct"/>
            <w:vAlign w:val="center"/>
          </w:tcPr>
          <w:p w14:paraId="6BD68FF1" w14:textId="77777777" w:rsidR="004A5553" w:rsidRPr="004A5553" w:rsidRDefault="004A5553" w:rsidP="004A5553">
            <w:pPr>
              <w:widowControl w:val="0"/>
              <w:spacing w:before="0" w:after="0"/>
              <w:ind w:right="284"/>
              <w:jc w:val="right"/>
              <w:rPr>
                <w:sz w:val="18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215CF2EF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71,9</w:t>
            </w:r>
          </w:p>
        </w:tc>
        <w:tc>
          <w:tcPr>
            <w:tcW w:w="568" w:type="pct"/>
            <w:vAlign w:val="center"/>
          </w:tcPr>
          <w:p w14:paraId="05E08156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28,1</w:t>
            </w:r>
          </w:p>
        </w:tc>
        <w:tc>
          <w:tcPr>
            <w:tcW w:w="567" w:type="pct"/>
            <w:vAlign w:val="center"/>
          </w:tcPr>
          <w:p w14:paraId="10CE70CD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72,2</w:t>
            </w:r>
          </w:p>
        </w:tc>
        <w:tc>
          <w:tcPr>
            <w:tcW w:w="570" w:type="pct"/>
            <w:vAlign w:val="center"/>
          </w:tcPr>
          <w:p w14:paraId="5ACA108F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27,8</w:t>
            </w:r>
          </w:p>
        </w:tc>
      </w:tr>
      <w:tr w:rsidR="004A5553" w:rsidRPr="004A5553" w14:paraId="3F5A3F2F" w14:textId="77777777" w:rsidTr="00B84E5C">
        <w:tc>
          <w:tcPr>
            <w:tcW w:w="2161" w:type="pct"/>
            <w:vAlign w:val="center"/>
          </w:tcPr>
          <w:p w14:paraId="74A50648" w14:textId="77777777" w:rsidR="004A5553" w:rsidRPr="004A5553" w:rsidRDefault="004A5553" w:rsidP="004A5553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4A5553">
              <w:rPr>
                <w:sz w:val="18"/>
              </w:rPr>
              <w:t>È una buona idea in quanto può indurre le persone incerte a vaccinarsi, evitando di obbligarle per legge</w:t>
            </w:r>
          </w:p>
        </w:tc>
        <w:tc>
          <w:tcPr>
            <w:tcW w:w="567" w:type="pct"/>
            <w:vAlign w:val="center"/>
          </w:tcPr>
          <w:p w14:paraId="79EF0086" w14:textId="77777777" w:rsidR="004A5553" w:rsidRPr="004A5553" w:rsidRDefault="004A5553" w:rsidP="004A5553">
            <w:pPr>
              <w:widowControl w:val="0"/>
              <w:spacing w:before="0" w:after="0"/>
              <w:ind w:right="284"/>
              <w:jc w:val="right"/>
              <w:rPr>
                <w:sz w:val="18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60F404FF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71,4</w:t>
            </w:r>
          </w:p>
        </w:tc>
        <w:tc>
          <w:tcPr>
            <w:tcW w:w="568" w:type="pct"/>
            <w:vAlign w:val="center"/>
          </w:tcPr>
          <w:p w14:paraId="0C708F45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28,6</w:t>
            </w:r>
          </w:p>
        </w:tc>
        <w:tc>
          <w:tcPr>
            <w:tcW w:w="567" w:type="pct"/>
            <w:vAlign w:val="center"/>
          </w:tcPr>
          <w:p w14:paraId="5534FB5E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74,9</w:t>
            </w:r>
          </w:p>
        </w:tc>
        <w:tc>
          <w:tcPr>
            <w:tcW w:w="570" w:type="pct"/>
            <w:vAlign w:val="center"/>
          </w:tcPr>
          <w:p w14:paraId="6C9C32EA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25,1</w:t>
            </w:r>
          </w:p>
        </w:tc>
      </w:tr>
      <w:tr w:rsidR="004A5553" w:rsidRPr="004A5553" w14:paraId="2FDB7FC3" w14:textId="77777777" w:rsidTr="00B84E5C">
        <w:tc>
          <w:tcPr>
            <w:tcW w:w="2161" w:type="pct"/>
            <w:vAlign w:val="center"/>
          </w:tcPr>
          <w:p w14:paraId="0436B170" w14:textId="77777777" w:rsidR="004A5553" w:rsidRPr="004A5553" w:rsidRDefault="004A5553" w:rsidP="004A5553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4A5553">
              <w:rPr>
                <w:sz w:val="18"/>
              </w:rPr>
              <w:t>È una buona idea, perché favorisce la crescita del senso di responsabilità verso di sé ma anche verso gli altri</w:t>
            </w:r>
          </w:p>
        </w:tc>
        <w:tc>
          <w:tcPr>
            <w:tcW w:w="567" w:type="pct"/>
            <w:vAlign w:val="center"/>
          </w:tcPr>
          <w:p w14:paraId="4141D47A" w14:textId="77777777" w:rsidR="004A5553" w:rsidRPr="004A5553" w:rsidRDefault="004A5553" w:rsidP="004A5553">
            <w:pPr>
              <w:widowControl w:val="0"/>
              <w:spacing w:before="0" w:after="0"/>
              <w:ind w:right="284"/>
              <w:jc w:val="right"/>
              <w:rPr>
                <w:sz w:val="18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15812E68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72,3</w:t>
            </w:r>
          </w:p>
        </w:tc>
        <w:tc>
          <w:tcPr>
            <w:tcW w:w="568" w:type="pct"/>
            <w:vAlign w:val="center"/>
          </w:tcPr>
          <w:p w14:paraId="17DDF658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27,7</w:t>
            </w:r>
          </w:p>
        </w:tc>
        <w:tc>
          <w:tcPr>
            <w:tcW w:w="567" w:type="pct"/>
            <w:vAlign w:val="center"/>
          </w:tcPr>
          <w:p w14:paraId="3940480A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60,6</w:t>
            </w:r>
          </w:p>
        </w:tc>
        <w:tc>
          <w:tcPr>
            <w:tcW w:w="570" w:type="pct"/>
            <w:vAlign w:val="center"/>
          </w:tcPr>
          <w:p w14:paraId="721878B4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39,4</w:t>
            </w:r>
          </w:p>
        </w:tc>
      </w:tr>
      <w:tr w:rsidR="004A5553" w:rsidRPr="004A5553" w14:paraId="5F630354" w14:textId="77777777" w:rsidTr="00B84E5C">
        <w:tc>
          <w:tcPr>
            <w:tcW w:w="2161" w:type="pct"/>
            <w:vAlign w:val="center"/>
          </w:tcPr>
          <w:p w14:paraId="12C124C0" w14:textId="77777777" w:rsidR="004A5553" w:rsidRPr="004A5553" w:rsidRDefault="004A5553" w:rsidP="004A5553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4A5553">
              <w:rPr>
                <w:sz w:val="18"/>
              </w:rPr>
              <w:t>È una buona idea ed è giusto estenderlo a tutti i la</w:t>
            </w:r>
            <w:r w:rsidRPr="004A5553">
              <w:rPr>
                <w:sz w:val="18"/>
              </w:rPr>
              <w:softHyphen/>
              <w:t xml:space="preserve">voratori </w:t>
            </w:r>
          </w:p>
        </w:tc>
        <w:tc>
          <w:tcPr>
            <w:tcW w:w="567" w:type="pct"/>
            <w:vAlign w:val="center"/>
          </w:tcPr>
          <w:p w14:paraId="16AB831D" w14:textId="77777777" w:rsidR="004A5553" w:rsidRPr="004A5553" w:rsidRDefault="004A5553" w:rsidP="004A5553">
            <w:pPr>
              <w:widowControl w:val="0"/>
              <w:spacing w:before="0" w:after="0"/>
              <w:ind w:right="284"/>
              <w:jc w:val="right"/>
              <w:rPr>
                <w:sz w:val="18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4CD1AD33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70,4</w:t>
            </w:r>
          </w:p>
        </w:tc>
        <w:tc>
          <w:tcPr>
            <w:tcW w:w="568" w:type="pct"/>
            <w:vAlign w:val="center"/>
          </w:tcPr>
          <w:p w14:paraId="22EE6A2D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29,6</w:t>
            </w:r>
          </w:p>
        </w:tc>
        <w:tc>
          <w:tcPr>
            <w:tcW w:w="567" w:type="pct"/>
            <w:vAlign w:val="center"/>
          </w:tcPr>
          <w:p w14:paraId="2F6C025C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61,3</w:t>
            </w:r>
          </w:p>
        </w:tc>
        <w:tc>
          <w:tcPr>
            <w:tcW w:w="570" w:type="pct"/>
            <w:vAlign w:val="center"/>
          </w:tcPr>
          <w:p w14:paraId="5DA35E3C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38,7</w:t>
            </w:r>
          </w:p>
        </w:tc>
      </w:tr>
      <w:tr w:rsidR="004A5553" w:rsidRPr="004A5553" w14:paraId="7868C680" w14:textId="77777777" w:rsidTr="00B84E5C">
        <w:tc>
          <w:tcPr>
            <w:tcW w:w="2161" w:type="pct"/>
            <w:vAlign w:val="center"/>
          </w:tcPr>
          <w:p w14:paraId="74839E0E" w14:textId="77777777" w:rsidR="004A5553" w:rsidRPr="004A5553" w:rsidRDefault="004A5553" w:rsidP="004A5553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4A5553">
              <w:rPr>
                <w:sz w:val="18"/>
              </w:rPr>
              <w:t>È una buona idea e andrebbe esteso obbligato</w:t>
            </w:r>
            <w:r w:rsidRPr="004A5553">
              <w:rPr>
                <w:sz w:val="18"/>
              </w:rPr>
              <w:softHyphen/>
              <w:t>ria</w:t>
            </w:r>
            <w:r w:rsidRPr="004A5553">
              <w:rPr>
                <w:sz w:val="18"/>
              </w:rPr>
              <w:softHyphen/>
              <w:t>mente a tutta la popola</w:t>
            </w:r>
            <w:r w:rsidRPr="004A5553">
              <w:rPr>
                <w:sz w:val="18"/>
              </w:rPr>
              <w:softHyphen/>
              <w:t>zione (salvo comprovate condizioni di salute che non permettono di vac</w:t>
            </w:r>
            <w:r w:rsidRPr="004A5553">
              <w:rPr>
                <w:sz w:val="18"/>
              </w:rPr>
              <w:softHyphen/>
              <w:t>ci</w:t>
            </w:r>
            <w:r w:rsidRPr="004A5553">
              <w:rPr>
                <w:sz w:val="18"/>
              </w:rPr>
              <w:softHyphen/>
              <w:t>narsi)</w:t>
            </w:r>
          </w:p>
        </w:tc>
        <w:tc>
          <w:tcPr>
            <w:tcW w:w="567" w:type="pct"/>
            <w:vAlign w:val="center"/>
          </w:tcPr>
          <w:p w14:paraId="7853788B" w14:textId="77777777" w:rsidR="004A5553" w:rsidRPr="004A5553" w:rsidRDefault="004A5553" w:rsidP="004A5553">
            <w:pPr>
              <w:widowControl w:val="0"/>
              <w:spacing w:before="0" w:after="0"/>
              <w:ind w:right="284"/>
              <w:jc w:val="right"/>
              <w:rPr>
                <w:sz w:val="18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35445745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70,2</w:t>
            </w:r>
          </w:p>
        </w:tc>
        <w:tc>
          <w:tcPr>
            <w:tcW w:w="568" w:type="pct"/>
            <w:vAlign w:val="center"/>
          </w:tcPr>
          <w:p w14:paraId="19D4C5C4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29,8</w:t>
            </w:r>
          </w:p>
        </w:tc>
        <w:tc>
          <w:tcPr>
            <w:tcW w:w="567" w:type="pct"/>
            <w:vAlign w:val="center"/>
          </w:tcPr>
          <w:p w14:paraId="12B39F90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71,7</w:t>
            </w:r>
          </w:p>
        </w:tc>
        <w:tc>
          <w:tcPr>
            <w:tcW w:w="570" w:type="pct"/>
            <w:vAlign w:val="center"/>
          </w:tcPr>
          <w:p w14:paraId="0FFD0300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28,3</w:t>
            </w:r>
          </w:p>
        </w:tc>
      </w:tr>
      <w:tr w:rsidR="004A5553" w:rsidRPr="004A5553" w14:paraId="04724F4A" w14:textId="77777777" w:rsidTr="00B84E5C">
        <w:tc>
          <w:tcPr>
            <w:tcW w:w="2161" w:type="pct"/>
            <w:tcBorders>
              <w:bottom w:val="single" w:sz="4" w:space="0" w:color="auto"/>
            </w:tcBorders>
            <w:vAlign w:val="center"/>
          </w:tcPr>
          <w:p w14:paraId="669422D8" w14:textId="77777777" w:rsidR="004A5553" w:rsidRPr="004A5553" w:rsidRDefault="004A5553" w:rsidP="004A5553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4A5553">
              <w:rPr>
                <w:sz w:val="18"/>
              </w:rPr>
              <w:t>È una buona idea se, ovviamente, si prevede anche una documentazione certificata per coloro che hanno reali problemi di salute, che impediscono di utilizzare il vaccino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14:paraId="5C09AC88" w14:textId="77777777" w:rsidR="004A5553" w:rsidRPr="004A5553" w:rsidRDefault="004A5553" w:rsidP="004A5553">
            <w:pPr>
              <w:widowControl w:val="0"/>
              <w:spacing w:before="0" w:after="0"/>
              <w:ind w:right="284"/>
              <w:jc w:val="right"/>
              <w:rPr>
                <w:sz w:val="18"/>
                <w:szCs w:val="20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14:paraId="7A2CC51B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74,9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14:paraId="229285A3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25,1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14:paraId="6A1D762F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60,4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74BDD38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39,6</w:t>
            </w:r>
          </w:p>
        </w:tc>
      </w:tr>
    </w:tbl>
    <w:p w14:paraId="36873FCB" w14:textId="77777777" w:rsidR="004A5553" w:rsidRDefault="004A5553" w:rsidP="004A5553">
      <w:pPr>
        <w:widowControl w:val="0"/>
        <w:spacing w:before="0" w:after="0"/>
        <w:jc w:val="right"/>
        <w:rPr>
          <w:sz w:val="18"/>
        </w:rPr>
      </w:pPr>
    </w:p>
    <w:p w14:paraId="30588839" w14:textId="29A192BE" w:rsidR="004A5553" w:rsidRPr="004A5553" w:rsidRDefault="004A5553" w:rsidP="004A5553">
      <w:pPr>
        <w:widowControl w:val="0"/>
        <w:spacing w:before="0" w:after="0"/>
        <w:jc w:val="right"/>
        <w:rPr>
          <w:sz w:val="18"/>
        </w:rPr>
      </w:pPr>
      <w:r w:rsidRPr="004A5553">
        <w:rPr>
          <w:sz w:val="18"/>
        </w:rPr>
        <w:t>./.</w:t>
      </w:r>
    </w:p>
    <w:p w14:paraId="0CD621D2" w14:textId="77777777" w:rsidR="004A5553" w:rsidRDefault="004A5553">
      <w:pPr>
        <w:spacing w:before="0" w:after="160" w:line="259" w:lineRule="auto"/>
        <w:jc w:val="left"/>
        <w:rPr>
          <w:sz w:val="18"/>
        </w:rPr>
      </w:pPr>
      <w:r>
        <w:rPr>
          <w:sz w:val="18"/>
        </w:rPr>
        <w:br w:type="page"/>
      </w:r>
    </w:p>
    <w:p w14:paraId="4F6ED157" w14:textId="2F11BFBE" w:rsidR="004A5553" w:rsidRPr="004A5553" w:rsidRDefault="004A5553" w:rsidP="004A5553">
      <w:pPr>
        <w:widowControl w:val="0"/>
        <w:spacing w:before="0" w:after="0"/>
        <w:rPr>
          <w:i/>
          <w:iCs/>
          <w:sz w:val="18"/>
        </w:rPr>
      </w:pPr>
      <w:r w:rsidRPr="004A5553">
        <w:rPr>
          <w:sz w:val="18"/>
        </w:rPr>
        <w:lastRenderedPageBreak/>
        <w:t xml:space="preserve">(Segue) </w:t>
      </w:r>
      <w:r w:rsidRPr="004A5553">
        <w:rPr>
          <w:i/>
          <w:iCs/>
          <w:sz w:val="18"/>
        </w:rPr>
        <w:t>Ta</w:t>
      </w:r>
      <w:r>
        <w:rPr>
          <w:i/>
          <w:iCs/>
          <w:sz w:val="18"/>
        </w:rPr>
        <w:t>b</w:t>
      </w:r>
      <w:r w:rsidRPr="004A5553">
        <w:rPr>
          <w:i/>
          <w:iCs/>
          <w:sz w:val="18"/>
        </w:rPr>
        <w:t xml:space="preserve">. </w:t>
      </w:r>
      <w:r>
        <w:rPr>
          <w:i/>
          <w:iCs/>
          <w:sz w:val="18"/>
        </w:rPr>
        <w:t>3</w:t>
      </w:r>
      <w:r w:rsidRPr="004A5553">
        <w:rPr>
          <w:i/>
          <w:iCs/>
          <w:sz w:val="18"/>
        </w:rPr>
        <w:t xml:space="preserve"> – Convergenze e divaricazioni di atteggiamenti e propensioni che tendono a polarizzarsi sia per la popolazione sia per i pazienti Covid-19 (val. %)</w:t>
      </w:r>
    </w:p>
    <w:tbl>
      <w:tblPr>
        <w:tblStyle w:val="Grigliatabella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9"/>
        <w:gridCol w:w="1781"/>
        <w:gridCol w:w="1782"/>
        <w:gridCol w:w="1785"/>
        <w:gridCol w:w="1782"/>
        <w:gridCol w:w="1791"/>
      </w:tblGrid>
      <w:tr w:rsidR="004A5553" w:rsidRPr="004A5553" w14:paraId="6D9CA74F" w14:textId="77777777" w:rsidTr="00B84E5C"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1E041" w14:textId="77777777" w:rsidR="004A5553" w:rsidRPr="004A5553" w:rsidRDefault="004A5553" w:rsidP="004A5553">
            <w:pPr>
              <w:widowControl w:val="0"/>
              <w:spacing w:before="0" w:after="0"/>
              <w:rPr>
                <w:i/>
                <w:iCs/>
                <w:sz w:val="18"/>
                <w:szCs w:val="20"/>
              </w:rPr>
            </w:pPr>
            <w:r w:rsidRPr="004A5553">
              <w:rPr>
                <w:i/>
                <w:iCs/>
                <w:sz w:val="18"/>
              </w:rPr>
              <w:t>Fenomeni</w:t>
            </w:r>
          </w:p>
        </w:tc>
        <w:tc>
          <w:tcPr>
            <w:tcW w:w="283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4FBCC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rFonts w:eastAsia="Times New Roman" w:cs="Calibri"/>
                <w:i/>
                <w:iCs/>
                <w:sz w:val="18"/>
              </w:rPr>
            </w:pPr>
            <w:r w:rsidRPr="004A5553">
              <w:rPr>
                <w:rFonts w:eastAsia="Times New Roman" w:cs="Calibri"/>
                <w:i/>
                <w:iCs/>
                <w:sz w:val="18"/>
              </w:rPr>
              <w:t>Dati</w:t>
            </w:r>
          </w:p>
        </w:tc>
      </w:tr>
      <w:tr w:rsidR="004A5553" w:rsidRPr="004A5553" w14:paraId="79D01EC2" w14:textId="77777777" w:rsidTr="00B84E5C">
        <w:tc>
          <w:tcPr>
            <w:tcW w:w="2161" w:type="pct"/>
            <w:vMerge w:val="restart"/>
            <w:tcBorders>
              <w:top w:val="single" w:sz="4" w:space="0" w:color="auto"/>
            </w:tcBorders>
            <w:vAlign w:val="center"/>
          </w:tcPr>
          <w:p w14:paraId="2DCB789D" w14:textId="77777777" w:rsidR="004A5553" w:rsidRPr="004A5553" w:rsidRDefault="004A5553" w:rsidP="004A5553">
            <w:pPr>
              <w:widowControl w:val="0"/>
              <w:spacing w:before="0" w:after="0"/>
              <w:rPr>
                <w:i/>
                <w:iCs/>
                <w:sz w:val="18"/>
                <w:szCs w:val="20"/>
              </w:rPr>
            </w:pPr>
          </w:p>
          <w:p w14:paraId="71DEDCB3" w14:textId="29A622CD" w:rsidR="004A5553" w:rsidRPr="00662F54" w:rsidRDefault="004A5553" w:rsidP="004A5553">
            <w:pPr>
              <w:widowControl w:val="0"/>
              <w:spacing w:before="0" w:after="0"/>
              <w:rPr>
                <w:sz w:val="18"/>
                <w:szCs w:val="20"/>
                <w:vertAlign w:val="superscript"/>
              </w:rPr>
            </w:pPr>
            <w:r w:rsidRPr="004A5553">
              <w:rPr>
                <w:i/>
                <w:iCs/>
                <w:sz w:val="18"/>
                <w:szCs w:val="20"/>
              </w:rPr>
              <w:t>Una convergenza sostanziale, ma con una polarizzazione significativa, sul tema della responsabilità dei comportamenti, degli atteggiamenti delle prio</w:t>
            </w:r>
            <w:r w:rsidRPr="004A5553">
              <w:rPr>
                <w:i/>
                <w:iCs/>
                <w:sz w:val="18"/>
                <w:szCs w:val="20"/>
              </w:rPr>
              <w:softHyphen/>
              <w:t>rità condivise di fronte alla pandemia</w:t>
            </w:r>
            <w:r w:rsidR="00662F54">
              <w:rPr>
                <w:sz w:val="18"/>
                <w:szCs w:val="20"/>
              </w:rPr>
              <w:t>: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0DC5ABAD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rFonts w:cs="Calibri"/>
                <w:sz w:val="18"/>
                <w:vertAlign w:val="superscript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</w:tcBorders>
            <w:vAlign w:val="center"/>
          </w:tcPr>
          <w:p w14:paraId="7357CE02" w14:textId="4D454673" w:rsidR="004A5553" w:rsidRPr="004A5553" w:rsidRDefault="004A5553" w:rsidP="004A5553">
            <w:pPr>
              <w:widowControl w:val="0"/>
              <w:pBdr>
                <w:bottom w:val="single" w:sz="4" w:space="1" w:color="auto"/>
              </w:pBdr>
              <w:spacing w:before="0" w:after="0"/>
              <w:jc w:val="center"/>
              <w:rPr>
                <w:rFonts w:cs="Calibri"/>
                <w:sz w:val="18"/>
              </w:rPr>
            </w:pPr>
            <w:r w:rsidRPr="004A5553">
              <w:rPr>
                <w:i/>
                <w:iCs/>
                <w:sz w:val="18"/>
                <w:szCs w:val="20"/>
              </w:rPr>
              <w:t>Popolazione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</w:tcBorders>
            <w:vAlign w:val="bottom"/>
          </w:tcPr>
          <w:p w14:paraId="0A870B7B" w14:textId="77777777" w:rsidR="004A5553" w:rsidRPr="004A5553" w:rsidRDefault="004A5553" w:rsidP="004A5553">
            <w:pPr>
              <w:widowControl w:val="0"/>
              <w:pBdr>
                <w:bottom w:val="single" w:sz="4" w:space="1" w:color="auto"/>
              </w:pBdr>
              <w:spacing w:before="0" w:after="0"/>
              <w:jc w:val="center"/>
              <w:rPr>
                <w:rFonts w:cs="Calibri"/>
                <w:sz w:val="18"/>
              </w:rPr>
            </w:pPr>
            <w:r w:rsidRPr="004A5553">
              <w:rPr>
                <w:rFonts w:eastAsia="Times New Roman" w:cs="Calibri"/>
                <w:i/>
                <w:iCs/>
                <w:sz w:val="18"/>
              </w:rPr>
              <w:t>Pazienti Covid</w:t>
            </w:r>
          </w:p>
        </w:tc>
      </w:tr>
      <w:tr w:rsidR="004A5553" w:rsidRPr="004A5553" w14:paraId="6695750A" w14:textId="77777777" w:rsidTr="00B84E5C">
        <w:tc>
          <w:tcPr>
            <w:tcW w:w="2161" w:type="pct"/>
            <w:vMerge/>
            <w:vAlign w:val="center"/>
          </w:tcPr>
          <w:p w14:paraId="4038F7B5" w14:textId="77777777" w:rsidR="004A5553" w:rsidRPr="004A5553" w:rsidRDefault="004A5553" w:rsidP="004A5553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0" w:firstLine="0"/>
              <w:rPr>
                <w:sz w:val="18"/>
                <w:szCs w:val="20"/>
              </w:rPr>
            </w:pPr>
          </w:p>
        </w:tc>
        <w:tc>
          <w:tcPr>
            <w:tcW w:w="567" w:type="pct"/>
          </w:tcPr>
          <w:p w14:paraId="64839EB6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pct"/>
          </w:tcPr>
          <w:p w14:paraId="286CA2A8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rFonts w:cs="Calibri"/>
                <w:sz w:val="18"/>
              </w:rPr>
            </w:pPr>
            <w:r w:rsidRPr="004A5553">
              <w:rPr>
                <w:i/>
                <w:iCs/>
                <w:sz w:val="18"/>
                <w:szCs w:val="20"/>
              </w:rPr>
              <w:t>Molto + Abb. d’accordo</w:t>
            </w:r>
          </w:p>
        </w:tc>
        <w:tc>
          <w:tcPr>
            <w:tcW w:w="568" w:type="pct"/>
          </w:tcPr>
          <w:p w14:paraId="6AA8C824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rFonts w:cs="Calibri"/>
                <w:sz w:val="18"/>
              </w:rPr>
            </w:pPr>
            <w:r w:rsidRPr="004A5553">
              <w:rPr>
                <w:i/>
                <w:iCs/>
                <w:sz w:val="18"/>
                <w:szCs w:val="20"/>
              </w:rPr>
              <w:t>Poco + Per nulla d’accordo</w:t>
            </w:r>
          </w:p>
        </w:tc>
        <w:tc>
          <w:tcPr>
            <w:tcW w:w="567" w:type="pct"/>
          </w:tcPr>
          <w:p w14:paraId="6813075C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rFonts w:cs="Calibri"/>
                <w:sz w:val="18"/>
              </w:rPr>
            </w:pPr>
            <w:r w:rsidRPr="004A5553">
              <w:rPr>
                <w:i/>
                <w:iCs/>
                <w:sz w:val="18"/>
                <w:szCs w:val="20"/>
              </w:rPr>
              <w:t>Molto + Abb. d’accordo</w:t>
            </w:r>
          </w:p>
        </w:tc>
        <w:tc>
          <w:tcPr>
            <w:tcW w:w="570" w:type="pct"/>
          </w:tcPr>
          <w:p w14:paraId="3D0E3F0C" w14:textId="77777777" w:rsidR="004A5553" w:rsidRPr="004A5553" w:rsidRDefault="004A5553" w:rsidP="004A5553">
            <w:pPr>
              <w:widowControl w:val="0"/>
              <w:spacing w:before="0" w:after="0"/>
              <w:jc w:val="center"/>
              <w:rPr>
                <w:i/>
                <w:iCs/>
                <w:sz w:val="18"/>
                <w:szCs w:val="20"/>
              </w:rPr>
            </w:pPr>
            <w:r w:rsidRPr="004A5553">
              <w:rPr>
                <w:i/>
                <w:iCs/>
                <w:sz w:val="18"/>
                <w:szCs w:val="20"/>
              </w:rPr>
              <w:t>Poco + Per nulla d’accordo</w:t>
            </w:r>
          </w:p>
        </w:tc>
      </w:tr>
      <w:tr w:rsidR="004A5553" w:rsidRPr="004A5553" w14:paraId="4E927746" w14:textId="77777777" w:rsidTr="00B84E5C">
        <w:tc>
          <w:tcPr>
            <w:tcW w:w="2161" w:type="pct"/>
            <w:vAlign w:val="center"/>
          </w:tcPr>
          <w:p w14:paraId="0EB7FDFE" w14:textId="77777777" w:rsidR="004A5553" w:rsidRPr="004A5553" w:rsidRDefault="004A5553" w:rsidP="004A5553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4A5553">
              <w:rPr>
                <w:sz w:val="18"/>
              </w:rPr>
              <w:t>Sarebbe giusto affrontare il tema di una priorità più equilibrata nell’ero</w:t>
            </w:r>
            <w:r w:rsidRPr="004A5553">
              <w:rPr>
                <w:sz w:val="18"/>
              </w:rPr>
              <w:softHyphen/>
              <w:t>gazione delle cure ospedaliere tra pazienti Co</w:t>
            </w:r>
            <w:r w:rsidRPr="004A5553">
              <w:rPr>
                <w:sz w:val="18"/>
              </w:rPr>
              <w:softHyphen/>
              <w:t>vid-19 e pazienti non Co</w:t>
            </w:r>
            <w:r w:rsidRPr="004A5553">
              <w:rPr>
                <w:sz w:val="18"/>
              </w:rPr>
              <w:softHyphen/>
              <w:t>vid-19, i quali ultimi corrono rischi altrettanto se non più seri di salute qualora non si intervenga, avendo in molti casi già dovuto rimandare a lungo le cure o gli interventi programmati (come nel campo, ad esempio, dei pazienti oncologici o di quelli che hanno avuto seri problemi al si</w:t>
            </w:r>
            <w:r w:rsidRPr="004A5553">
              <w:rPr>
                <w:sz w:val="18"/>
              </w:rPr>
              <w:softHyphen/>
              <w:t>stema cardiocircolatorio)</w:t>
            </w:r>
          </w:p>
        </w:tc>
        <w:tc>
          <w:tcPr>
            <w:tcW w:w="567" w:type="pct"/>
            <w:vAlign w:val="center"/>
          </w:tcPr>
          <w:p w14:paraId="4397A854" w14:textId="77777777" w:rsidR="004A5553" w:rsidRPr="004A5553" w:rsidRDefault="004A5553" w:rsidP="004A5553">
            <w:pPr>
              <w:widowControl w:val="0"/>
              <w:spacing w:before="0" w:after="0"/>
              <w:ind w:right="284"/>
              <w:jc w:val="right"/>
              <w:rPr>
                <w:sz w:val="18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2C217B0E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81,3</w:t>
            </w:r>
          </w:p>
        </w:tc>
        <w:tc>
          <w:tcPr>
            <w:tcW w:w="568" w:type="pct"/>
            <w:vAlign w:val="center"/>
          </w:tcPr>
          <w:p w14:paraId="1B7A8814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18,7</w:t>
            </w:r>
          </w:p>
        </w:tc>
        <w:tc>
          <w:tcPr>
            <w:tcW w:w="567" w:type="pct"/>
            <w:vAlign w:val="center"/>
          </w:tcPr>
          <w:p w14:paraId="46C31F63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74,5</w:t>
            </w:r>
          </w:p>
        </w:tc>
        <w:tc>
          <w:tcPr>
            <w:tcW w:w="570" w:type="pct"/>
            <w:vAlign w:val="center"/>
          </w:tcPr>
          <w:p w14:paraId="4697F4AD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25,5</w:t>
            </w:r>
          </w:p>
        </w:tc>
      </w:tr>
      <w:tr w:rsidR="004A5553" w:rsidRPr="004A5553" w14:paraId="4528B8ED" w14:textId="77777777" w:rsidTr="00B84E5C">
        <w:tc>
          <w:tcPr>
            <w:tcW w:w="2161" w:type="pct"/>
            <w:vAlign w:val="center"/>
          </w:tcPr>
          <w:p w14:paraId="63F69DE1" w14:textId="77777777" w:rsidR="004A5553" w:rsidRPr="004A5553" w:rsidRDefault="004A5553" w:rsidP="004A5553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4A5553">
              <w:rPr>
                <w:sz w:val="18"/>
              </w:rPr>
              <w:t>Sarebbe giusto, in caso di sovraccarico delle strutture ospe</w:t>
            </w:r>
            <w:r w:rsidRPr="004A5553">
              <w:rPr>
                <w:sz w:val="18"/>
              </w:rPr>
              <w:softHyphen/>
              <w:t>daliere, dare precedenza alle cure rivolte alle persone che hanno contratto il virus pur essendo state vaccinate rispetto a quelle non vaccinate per loro scelta personale (e non per vin</w:t>
            </w:r>
            <w:r w:rsidRPr="004A5553">
              <w:rPr>
                <w:sz w:val="18"/>
              </w:rPr>
              <w:softHyphen/>
              <w:t>coli di salute)</w:t>
            </w:r>
          </w:p>
        </w:tc>
        <w:tc>
          <w:tcPr>
            <w:tcW w:w="567" w:type="pct"/>
            <w:vAlign w:val="center"/>
          </w:tcPr>
          <w:p w14:paraId="0713BEB2" w14:textId="77777777" w:rsidR="004A5553" w:rsidRPr="004A5553" w:rsidRDefault="004A5553" w:rsidP="004A5553">
            <w:pPr>
              <w:widowControl w:val="0"/>
              <w:spacing w:before="0" w:after="0"/>
              <w:ind w:right="284"/>
              <w:jc w:val="right"/>
              <w:rPr>
                <w:sz w:val="18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1B87731B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66,9</w:t>
            </w:r>
          </w:p>
        </w:tc>
        <w:tc>
          <w:tcPr>
            <w:tcW w:w="568" w:type="pct"/>
            <w:vAlign w:val="center"/>
          </w:tcPr>
          <w:p w14:paraId="36578E61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33,1</w:t>
            </w:r>
          </w:p>
        </w:tc>
        <w:tc>
          <w:tcPr>
            <w:tcW w:w="567" w:type="pct"/>
            <w:vAlign w:val="center"/>
          </w:tcPr>
          <w:p w14:paraId="57FDE239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69,3</w:t>
            </w:r>
          </w:p>
        </w:tc>
        <w:tc>
          <w:tcPr>
            <w:tcW w:w="570" w:type="pct"/>
            <w:vAlign w:val="center"/>
          </w:tcPr>
          <w:p w14:paraId="41DC8D62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30,7</w:t>
            </w:r>
          </w:p>
        </w:tc>
      </w:tr>
      <w:tr w:rsidR="004A5553" w:rsidRPr="004A5553" w14:paraId="2F023671" w14:textId="77777777" w:rsidTr="00B84E5C">
        <w:tc>
          <w:tcPr>
            <w:tcW w:w="2161" w:type="pct"/>
            <w:vAlign w:val="center"/>
          </w:tcPr>
          <w:p w14:paraId="464B2B26" w14:textId="77777777" w:rsidR="004A5553" w:rsidRPr="004A5553" w:rsidRDefault="004A5553" w:rsidP="004A5553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4A5553">
              <w:rPr>
                <w:sz w:val="18"/>
              </w:rPr>
              <w:t>Sarebbe anche giusto introdurre una sorta di ticket significa</w:t>
            </w:r>
            <w:r w:rsidRPr="004A5553">
              <w:rPr>
                <w:sz w:val="18"/>
              </w:rPr>
              <w:softHyphen/>
              <w:t>tivo per l’ero</w:t>
            </w:r>
            <w:r w:rsidRPr="004A5553">
              <w:rPr>
                <w:sz w:val="18"/>
              </w:rPr>
              <w:softHyphen/>
              <w:t>gazione delle cure ospedaliere nei confronti dei pazienti Covid-19 che hanno scelto personalmente di non vaccinarsi (e non per vincoli di salute)</w:t>
            </w:r>
          </w:p>
        </w:tc>
        <w:tc>
          <w:tcPr>
            <w:tcW w:w="567" w:type="pct"/>
            <w:vAlign w:val="center"/>
          </w:tcPr>
          <w:p w14:paraId="4CC31C7B" w14:textId="77777777" w:rsidR="004A5553" w:rsidRPr="004A5553" w:rsidRDefault="004A5553" w:rsidP="004A5553">
            <w:pPr>
              <w:widowControl w:val="0"/>
              <w:spacing w:before="0" w:after="0"/>
              <w:ind w:right="284"/>
              <w:jc w:val="right"/>
              <w:rPr>
                <w:sz w:val="18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7428860E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68,8</w:t>
            </w:r>
          </w:p>
        </w:tc>
        <w:tc>
          <w:tcPr>
            <w:tcW w:w="568" w:type="pct"/>
            <w:vAlign w:val="center"/>
          </w:tcPr>
          <w:p w14:paraId="51ABAC17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31,2</w:t>
            </w:r>
          </w:p>
        </w:tc>
        <w:tc>
          <w:tcPr>
            <w:tcW w:w="567" w:type="pct"/>
            <w:vAlign w:val="center"/>
          </w:tcPr>
          <w:p w14:paraId="41F5C280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71,3</w:t>
            </w:r>
          </w:p>
        </w:tc>
        <w:tc>
          <w:tcPr>
            <w:tcW w:w="570" w:type="pct"/>
            <w:vAlign w:val="center"/>
          </w:tcPr>
          <w:p w14:paraId="0C3381AB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28,7</w:t>
            </w:r>
          </w:p>
        </w:tc>
      </w:tr>
      <w:tr w:rsidR="004A5553" w:rsidRPr="004A5553" w14:paraId="02E83F5D" w14:textId="77777777" w:rsidTr="00B84E5C">
        <w:tc>
          <w:tcPr>
            <w:tcW w:w="2161" w:type="pct"/>
            <w:tcBorders>
              <w:bottom w:val="single" w:sz="4" w:space="0" w:color="auto"/>
            </w:tcBorders>
            <w:vAlign w:val="center"/>
          </w:tcPr>
          <w:p w14:paraId="02EF652C" w14:textId="77777777" w:rsidR="004A5553" w:rsidRPr="004A5553" w:rsidRDefault="004A5553" w:rsidP="004A5553">
            <w:pPr>
              <w:pStyle w:val="Paragrafoelenco"/>
              <w:widowControl w:val="0"/>
              <w:numPr>
                <w:ilvl w:val="0"/>
                <w:numId w:val="8"/>
              </w:numPr>
              <w:spacing w:before="0" w:after="0"/>
              <w:ind w:left="284" w:hanging="284"/>
              <w:rPr>
                <w:sz w:val="18"/>
              </w:rPr>
            </w:pPr>
            <w:r w:rsidRPr="004A5553">
              <w:rPr>
                <w:sz w:val="18"/>
              </w:rPr>
              <w:t>Sarebbe giusto, visto l’andamento della pandemia, non solo a livello na</w:t>
            </w:r>
            <w:r w:rsidRPr="004A5553">
              <w:rPr>
                <w:sz w:val="18"/>
              </w:rPr>
              <w:softHyphen/>
              <w:t>zionale ma anche a livello mondiale, introdurre con apposita legge l’ob</w:t>
            </w:r>
            <w:r w:rsidRPr="004A5553">
              <w:rPr>
                <w:sz w:val="18"/>
              </w:rPr>
              <w:softHyphen/>
              <w:t>bligo della vaccinazione per tutta la popolazione (ad eccezione di coloro che hanno serie ragioni di salute e che non possono quindi essere vacci</w:t>
            </w:r>
            <w:r w:rsidRPr="004A5553">
              <w:rPr>
                <w:sz w:val="18"/>
              </w:rPr>
              <w:softHyphen/>
              <w:t>nate)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14:paraId="3508ED7A" w14:textId="77777777" w:rsidR="004A5553" w:rsidRPr="004A5553" w:rsidRDefault="004A5553" w:rsidP="004A5553">
            <w:pPr>
              <w:widowControl w:val="0"/>
              <w:spacing w:before="0" w:after="0"/>
              <w:ind w:right="284"/>
              <w:jc w:val="right"/>
              <w:rPr>
                <w:sz w:val="18"/>
                <w:szCs w:val="20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14:paraId="328B2668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69,8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14:paraId="1F4D4065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30,2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14:paraId="71AC29A5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63,0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74C69FAA" w14:textId="77777777" w:rsidR="004A5553" w:rsidRPr="004A5553" w:rsidRDefault="004A5553" w:rsidP="004A5553">
            <w:pPr>
              <w:widowControl w:val="0"/>
              <w:spacing w:before="0" w:after="0"/>
              <w:ind w:right="397"/>
              <w:jc w:val="right"/>
              <w:rPr>
                <w:rFonts w:cs="Calibri"/>
                <w:sz w:val="18"/>
              </w:rPr>
            </w:pPr>
            <w:r w:rsidRPr="004A5553">
              <w:rPr>
                <w:rFonts w:cs="Calibri"/>
                <w:sz w:val="18"/>
              </w:rPr>
              <w:t>37,0</w:t>
            </w:r>
          </w:p>
        </w:tc>
      </w:tr>
    </w:tbl>
    <w:p w14:paraId="2636A7B3" w14:textId="45E0A4A6" w:rsidR="004A5553" w:rsidRPr="00241B57" w:rsidRDefault="004A5553" w:rsidP="004A5553">
      <w:pPr>
        <w:widowControl w:val="0"/>
        <w:tabs>
          <w:tab w:val="left" w:pos="8768"/>
        </w:tabs>
        <w:spacing w:before="0" w:after="0"/>
        <w:ind w:left="284" w:hanging="284"/>
        <w:rPr>
          <w:sz w:val="18"/>
        </w:rPr>
      </w:pPr>
      <w:r w:rsidRPr="00241B57">
        <w:rPr>
          <w:sz w:val="18"/>
        </w:rPr>
        <w:t>(°)</w:t>
      </w:r>
      <w:r w:rsidRPr="00241B57">
        <w:rPr>
          <w:sz w:val="18"/>
        </w:rPr>
        <w:tab/>
        <w:t xml:space="preserve">Cfr. Rapporto “Ospedali &amp; Salute/2021”, Parte prima/Tavola </w:t>
      </w:r>
      <w:r>
        <w:rPr>
          <w:sz w:val="18"/>
        </w:rPr>
        <w:t>10</w:t>
      </w:r>
      <w:r w:rsidRPr="00241B57">
        <w:rPr>
          <w:sz w:val="18"/>
        </w:rPr>
        <w:t>.</w:t>
      </w:r>
    </w:p>
    <w:p w14:paraId="199D18FE" w14:textId="77777777" w:rsidR="003D3B6C" w:rsidRDefault="004A5553" w:rsidP="00F61C7D">
      <w:pPr>
        <w:widowControl w:val="0"/>
        <w:spacing w:before="0" w:after="0"/>
        <w:rPr>
          <w:sz w:val="18"/>
          <w:highlight w:val="yellow"/>
        </w:rPr>
      </w:pPr>
      <w:r w:rsidRPr="004A5553">
        <w:rPr>
          <w:sz w:val="18"/>
        </w:rPr>
        <w:t xml:space="preserve">Fonte: </w:t>
      </w:r>
      <w:r w:rsidRPr="004A5553">
        <w:rPr>
          <w:i/>
          <w:sz w:val="18"/>
        </w:rPr>
        <w:t>indagine Ermeneia – Studi &amp; Strategie di Sistema, 2021</w:t>
      </w:r>
    </w:p>
    <w:p w14:paraId="093111A9" w14:textId="77777777" w:rsidR="009D28CF" w:rsidRDefault="009D28CF" w:rsidP="00F61C7D">
      <w:pPr>
        <w:widowControl w:val="0"/>
        <w:spacing w:before="0" w:after="0"/>
        <w:rPr>
          <w:sz w:val="18"/>
          <w:highlight w:val="yellow"/>
        </w:rPr>
      </w:pPr>
    </w:p>
    <w:sectPr w:rsidR="009D28CF" w:rsidSect="003D3B6C">
      <w:pgSz w:w="16838" w:h="11906" w:orient="landscape" w:code="9"/>
      <w:pgMar w:top="1134" w:right="567" w:bottom="1134" w:left="56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EAA7" w14:textId="77777777" w:rsidR="008912A3" w:rsidRDefault="008912A3" w:rsidP="008F2273">
      <w:pPr>
        <w:spacing w:before="0" w:after="0"/>
      </w:pPr>
      <w:r>
        <w:separator/>
      </w:r>
    </w:p>
  </w:endnote>
  <w:endnote w:type="continuationSeparator" w:id="0">
    <w:p w14:paraId="23363512" w14:textId="77777777" w:rsidR="008912A3" w:rsidRDefault="008912A3" w:rsidP="008F22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2070215760"/>
      <w:docPartObj>
        <w:docPartGallery w:val="Page Numbers (Bottom of Page)"/>
        <w:docPartUnique/>
      </w:docPartObj>
    </w:sdtPr>
    <w:sdtEndPr/>
    <w:sdtContent>
      <w:p w14:paraId="46FB43C2" w14:textId="6A90524E" w:rsidR="00EE2461" w:rsidRPr="00EE2461" w:rsidRDefault="00EE2461">
        <w:pPr>
          <w:pStyle w:val="Pidipagina"/>
          <w:jc w:val="right"/>
          <w:rPr>
            <w:i/>
            <w:iCs/>
          </w:rPr>
        </w:pPr>
        <w:r w:rsidRPr="00EE2461">
          <w:rPr>
            <w:i/>
            <w:iCs/>
          </w:rPr>
          <w:fldChar w:fldCharType="begin"/>
        </w:r>
        <w:r w:rsidRPr="00EE2461">
          <w:rPr>
            <w:i/>
            <w:iCs/>
          </w:rPr>
          <w:instrText>PAGE   \* MERGEFORMAT</w:instrText>
        </w:r>
        <w:r w:rsidRPr="00EE2461">
          <w:rPr>
            <w:i/>
            <w:iCs/>
          </w:rPr>
          <w:fldChar w:fldCharType="separate"/>
        </w:r>
        <w:r w:rsidR="00D44A36">
          <w:rPr>
            <w:i/>
            <w:iCs/>
            <w:noProof/>
          </w:rPr>
          <w:t>1</w:t>
        </w:r>
        <w:r w:rsidRPr="00EE2461">
          <w:rPr>
            <w:i/>
            <w:i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491F" w14:textId="77777777" w:rsidR="008912A3" w:rsidRDefault="008912A3" w:rsidP="008F2273">
      <w:pPr>
        <w:spacing w:before="0" w:after="0"/>
      </w:pPr>
      <w:r>
        <w:separator/>
      </w:r>
    </w:p>
  </w:footnote>
  <w:footnote w:type="continuationSeparator" w:id="0">
    <w:p w14:paraId="4FDF28EF" w14:textId="77777777" w:rsidR="008912A3" w:rsidRDefault="008912A3" w:rsidP="008F2273">
      <w:pPr>
        <w:spacing w:before="0" w:after="0"/>
      </w:pPr>
      <w:r>
        <w:continuationSeparator/>
      </w:r>
    </w:p>
  </w:footnote>
  <w:footnote w:id="1">
    <w:p w14:paraId="66B47D20" w14:textId="1B82D46E" w:rsidR="008F2273" w:rsidRPr="008A4E67" w:rsidRDefault="008F2273">
      <w:pPr>
        <w:pStyle w:val="Testonotaapidipagina"/>
        <w:rPr>
          <w:sz w:val="18"/>
        </w:rPr>
      </w:pPr>
      <w:r w:rsidRPr="008A4E67">
        <w:rPr>
          <w:rStyle w:val="Rimandonotaapidipagina"/>
          <w:sz w:val="18"/>
        </w:rPr>
        <w:footnoteRef/>
      </w:r>
      <w:r w:rsidRPr="008A4E67">
        <w:rPr>
          <w:sz w:val="18"/>
        </w:rPr>
        <w:t xml:space="preserve"> Per “medietà” si intende la capacità dei servizi di offrire un livello mediamente accettabile delle prestazioni, per quantità e per qualità, ma anche con una diffusione adeguata nei diversi territori del Paese e all’interno di questi ultimi.</w:t>
      </w:r>
    </w:p>
  </w:footnote>
  <w:footnote w:id="2">
    <w:p w14:paraId="1112300F" w14:textId="2852C5C1" w:rsidR="00E15596" w:rsidRDefault="00E15596">
      <w:pPr>
        <w:pStyle w:val="Testonotaapidipagina"/>
      </w:pPr>
      <w:r>
        <w:rPr>
          <w:rStyle w:val="Rimandonotaapidipagina"/>
        </w:rPr>
        <w:footnoteRef/>
      </w:r>
      <w:r>
        <w:t xml:space="preserve"> Cfr. Parte quarta/Paragrafo 2.7.</w:t>
      </w:r>
    </w:p>
  </w:footnote>
  <w:footnote w:id="3">
    <w:p w14:paraId="4CF3D3D4" w14:textId="0DBB1233" w:rsidR="00DC2A1F" w:rsidRDefault="00DC2A1F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l’indagine di campo sulla popolazione come pure sui pazienti Covid è avvenuta attraverso due appositi questionari, somministrati nella seconda metà del mese di settembre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D88"/>
    <w:multiLevelType w:val="hybridMultilevel"/>
    <w:tmpl w:val="63728600"/>
    <w:lvl w:ilvl="0" w:tplc="01520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004A"/>
    <w:multiLevelType w:val="hybridMultilevel"/>
    <w:tmpl w:val="BE287BB8"/>
    <w:lvl w:ilvl="0" w:tplc="B25056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BD05D7"/>
    <w:multiLevelType w:val="hybridMultilevel"/>
    <w:tmpl w:val="01E4EB5C"/>
    <w:lvl w:ilvl="0" w:tplc="343C5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0549"/>
    <w:multiLevelType w:val="hybridMultilevel"/>
    <w:tmpl w:val="D7BE2B06"/>
    <w:lvl w:ilvl="0" w:tplc="65F24BDA">
      <w:start w:val="1"/>
      <w:numFmt w:val="bullet"/>
      <w:pStyle w:val="Rientro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1E19"/>
    <w:multiLevelType w:val="hybridMultilevel"/>
    <w:tmpl w:val="FFCCC90E"/>
    <w:lvl w:ilvl="0" w:tplc="D6ECB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E53C9"/>
    <w:multiLevelType w:val="hybridMultilevel"/>
    <w:tmpl w:val="8C02ADC6"/>
    <w:lvl w:ilvl="0" w:tplc="69CAD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02CA"/>
    <w:multiLevelType w:val="hybridMultilevel"/>
    <w:tmpl w:val="7176500A"/>
    <w:lvl w:ilvl="0" w:tplc="6D46AC2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A75C4C"/>
    <w:multiLevelType w:val="hybridMultilevel"/>
    <w:tmpl w:val="4426C1B8"/>
    <w:lvl w:ilvl="0" w:tplc="70364D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002D1"/>
    <w:multiLevelType w:val="hybridMultilevel"/>
    <w:tmpl w:val="204EB766"/>
    <w:lvl w:ilvl="0" w:tplc="AA7CDE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3243"/>
    <w:multiLevelType w:val="hybridMultilevel"/>
    <w:tmpl w:val="8F7C2ED4"/>
    <w:lvl w:ilvl="0" w:tplc="70364D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6"/>
        <w:szCs w:val="1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5181D"/>
    <w:multiLevelType w:val="hybridMultilevel"/>
    <w:tmpl w:val="67048DC0"/>
    <w:lvl w:ilvl="0" w:tplc="199CD278">
      <w:start w:val="1"/>
      <w:numFmt w:val="bullet"/>
      <w:pStyle w:val="Paragrafoelenco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7D"/>
    <w:rsid w:val="0000214E"/>
    <w:rsid w:val="00025B55"/>
    <w:rsid w:val="0003175D"/>
    <w:rsid w:val="0003336B"/>
    <w:rsid w:val="00053E64"/>
    <w:rsid w:val="00066849"/>
    <w:rsid w:val="00075F0C"/>
    <w:rsid w:val="00076FC6"/>
    <w:rsid w:val="00080B2F"/>
    <w:rsid w:val="0008474D"/>
    <w:rsid w:val="00086DCE"/>
    <w:rsid w:val="000875E6"/>
    <w:rsid w:val="000C3BB3"/>
    <w:rsid w:val="000C70E7"/>
    <w:rsid w:val="000D069B"/>
    <w:rsid w:val="000D48E4"/>
    <w:rsid w:val="000E76B3"/>
    <w:rsid w:val="00102033"/>
    <w:rsid w:val="001050A7"/>
    <w:rsid w:val="00120DA9"/>
    <w:rsid w:val="00121F57"/>
    <w:rsid w:val="001270E9"/>
    <w:rsid w:val="0013458E"/>
    <w:rsid w:val="00137A0C"/>
    <w:rsid w:val="00155ED8"/>
    <w:rsid w:val="00173593"/>
    <w:rsid w:val="00191B40"/>
    <w:rsid w:val="001A023E"/>
    <w:rsid w:val="001B7BCE"/>
    <w:rsid w:val="001B7C19"/>
    <w:rsid w:val="001E3B41"/>
    <w:rsid w:val="0020037D"/>
    <w:rsid w:val="00222CE4"/>
    <w:rsid w:val="00241B57"/>
    <w:rsid w:val="002653DA"/>
    <w:rsid w:val="00265B02"/>
    <w:rsid w:val="002826D9"/>
    <w:rsid w:val="0028746A"/>
    <w:rsid w:val="00287790"/>
    <w:rsid w:val="00294660"/>
    <w:rsid w:val="002A3574"/>
    <w:rsid w:val="002B3724"/>
    <w:rsid w:val="002B6BBB"/>
    <w:rsid w:val="002C7AF4"/>
    <w:rsid w:val="002F41CA"/>
    <w:rsid w:val="00340FD5"/>
    <w:rsid w:val="003412DE"/>
    <w:rsid w:val="003413E9"/>
    <w:rsid w:val="00353FB7"/>
    <w:rsid w:val="00354F7F"/>
    <w:rsid w:val="00393936"/>
    <w:rsid w:val="003B30D5"/>
    <w:rsid w:val="003B6632"/>
    <w:rsid w:val="003C0C5A"/>
    <w:rsid w:val="003C6F6A"/>
    <w:rsid w:val="003D0C9D"/>
    <w:rsid w:val="003D3B6C"/>
    <w:rsid w:val="003D75BA"/>
    <w:rsid w:val="003F12F1"/>
    <w:rsid w:val="004142CC"/>
    <w:rsid w:val="00422B39"/>
    <w:rsid w:val="00460DD1"/>
    <w:rsid w:val="004827BC"/>
    <w:rsid w:val="004A5553"/>
    <w:rsid w:val="004A7F27"/>
    <w:rsid w:val="00505590"/>
    <w:rsid w:val="005338BF"/>
    <w:rsid w:val="005634BE"/>
    <w:rsid w:val="00567A3F"/>
    <w:rsid w:val="005A06B0"/>
    <w:rsid w:val="005D60AB"/>
    <w:rsid w:val="005D77A9"/>
    <w:rsid w:val="005F32CD"/>
    <w:rsid w:val="00603331"/>
    <w:rsid w:val="00632FF3"/>
    <w:rsid w:val="0063726B"/>
    <w:rsid w:val="00662F54"/>
    <w:rsid w:val="00665EE4"/>
    <w:rsid w:val="00676A7F"/>
    <w:rsid w:val="00683A39"/>
    <w:rsid w:val="006A6DB1"/>
    <w:rsid w:val="006B5427"/>
    <w:rsid w:val="006D68E5"/>
    <w:rsid w:val="006E378E"/>
    <w:rsid w:val="006E6DBC"/>
    <w:rsid w:val="006F3551"/>
    <w:rsid w:val="006F615A"/>
    <w:rsid w:val="006F62D7"/>
    <w:rsid w:val="00703768"/>
    <w:rsid w:val="007146AE"/>
    <w:rsid w:val="00735FFF"/>
    <w:rsid w:val="00754DDA"/>
    <w:rsid w:val="0076448E"/>
    <w:rsid w:val="00770D64"/>
    <w:rsid w:val="007804F6"/>
    <w:rsid w:val="00792F1C"/>
    <w:rsid w:val="007B0C34"/>
    <w:rsid w:val="007C6E80"/>
    <w:rsid w:val="007E1C56"/>
    <w:rsid w:val="00806C2B"/>
    <w:rsid w:val="00816DBD"/>
    <w:rsid w:val="0084152D"/>
    <w:rsid w:val="00880D3D"/>
    <w:rsid w:val="008862AF"/>
    <w:rsid w:val="00890536"/>
    <w:rsid w:val="008912A3"/>
    <w:rsid w:val="008A4091"/>
    <w:rsid w:val="008A4E67"/>
    <w:rsid w:val="008C0F9C"/>
    <w:rsid w:val="008C7025"/>
    <w:rsid w:val="008E7364"/>
    <w:rsid w:val="008F2273"/>
    <w:rsid w:val="008F36BD"/>
    <w:rsid w:val="00903CDF"/>
    <w:rsid w:val="009069FD"/>
    <w:rsid w:val="00936D5D"/>
    <w:rsid w:val="00940A60"/>
    <w:rsid w:val="00952F12"/>
    <w:rsid w:val="00964B48"/>
    <w:rsid w:val="009751D7"/>
    <w:rsid w:val="0099702B"/>
    <w:rsid w:val="00997549"/>
    <w:rsid w:val="009D28CF"/>
    <w:rsid w:val="009E71E2"/>
    <w:rsid w:val="00A04AFF"/>
    <w:rsid w:val="00A130D9"/>
    <w:rsid w:val="00A344CD"/>
    <w:rsid w:val="00A41EBD"/>
    <w:rsid w:val="00A669C9"/>
    <w:rsid w:val="00A828B7"/>
    <w:rsid w:val="00A96BCB"/>
    <w:rsid w:val="00AB385E"/>
    <w:rsid w:val="00AB3BB0"/>
    <w:rsid w:val="00AD5ACC"/>
    <w:rsid w:val="00AE1DDE"/>
    <w:rsid w:val="00AF23C6"/>
    <w:rsid w:val="00B16ABE"/>
    <w:rsid w:val="00B30A34"/>
    <w:rsid w:val="00B3424F"/>
    <w:rsid w:val="00B5619B"/>
    <w:rsid w:val="00B6132F"/>
    <w:rsid w:val="00B842F7"/>
    <w:rsid w:val="00BA33BB"/>
    <w:rsid w:val="00BA54D7"/>
    <w:rsid w:val="00BB15F2"/>
    <w:rsid w:val="00BB3991"/>
    <w:rsid w:val="00BC5267"/>
    <w:rsid w:val="00BD3E8C"/>
    <w:rsid w:val="00BF0A67"/>
    <w:rsid w:val="00C257F2"/>
    <w:rsid w:val="00C3495E"/>
    <w:rsid w:val="00C440F9"/>
    <w:rsid w:val="00C63FEB"/>
    <w:rsid w:val="00CB196D"/>
    <w:rsid w:val="00CD0531"/>
    <w:rsid w:val="00CD4DE7"/>
    <w:rsid w:val="00CE174D"/>
    <w:rsid w:val="00CF4B4B"/>
    <w:rsid w:val="00D06016"/>
    <w:rsid w:val="00D06B4D"/>
    <w:rsid w:val="00D175D3"/>
    <w:rsid w:val="00D2601D"/>
    <w:rsid w:val="00D44A36"/>
    <w:rsid w:val="00D85280"/>
    <w:rsid w:val="00D91994"/>
    <w:rsid w:val="00D91B25"/>
    <w:rsid w:val="00DC2301"/>
    <w:rsid w:val="00DC2A1F"/>
    <w:rsid w:val="00DD1B89"/>
    <w:rsid w:val="00E06DA7"/>
    <w:rsid w:val="00E15596"/>
    <w:rsid w:val="00E2186A"/>
    <w:rsid w:val="00E33A06"/>
    <w:rsid w:val="00E3464B"/>
    <w:rsid w:val="00E730AA"/>
    <w:rsid w:val="00E746C5"/>
    <w:rsid w:val="00E835B5"/>
    <w:rsid w:val="00EC20B1"/>
    <w:rsid w:val="00ED1D44"/>
    <w:rsid w:val="00EE2461"/>
    <w:rsid w:val="00F1008A"/>
    <w:rsid w:val="00F13912"/>
    <w:rsid w:val="00F57413"/>
    <w:rsid w:val="00F61C7D"/>
    <w:rsid w:val="00F6423A"/>
    <w:rsid w:val="00F73AAE"/>
    <w:rsid w:val="00F92700"/>
    <w:rsid w:val="00FB42C7"/>
    <w:rsid w:val="00FD274F"/>
    <w:rsid w:val="00FD6A82"/>
    <w:rsid w:val="00F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FC05"/>
  <w15:chartTrackingRefBased/>
  <w15:docId w15:val="{EAD2409A-5A18-4494-B2BE-F472305F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37D"/>
    <w:pPr>
      <w:spacing w:before="120" w:after="120" w:line="240" w:lineRule="auto"/>
      <w:jc w:val="both"/>
    </w:pPr>
    <w:rPr>
      <w:rFonts w:ascii="Times New Roman" w:hAnsi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5B55"/>
    <w:pPr>
      <w:keepNext/>
      <w:keepLines/>
      <w:spacing w:before="0" w:after="24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5B55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5B55"/>
    <w:pPr>
      <w:keepNext/>
      <w:keepLines/>
      <w:spacing w:after="0"/>
      <w:outlineLvl w:val="2"/>
    </w:pPr>
    <w:rPr>
      <w:rFonts w:eastAsiaTheme="majorEastAsia" w:cstheme="majorBidi"/>
      <w:i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">
    <w:name w:val="Rientro"/>
    <w:basedOn w:val="Normale"/>
    <w:qFormat/>
    <w:rsid w:val="003D0C9D"/>
    <w:pPr>
      <w:numPr>
        <w:numId w:val="1"/>
      </w:numPr>
      <w:ind w:left="714" w:hanging="357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25B55"/>
    <w:rPr>
      <w:rFonts w:ascii="Times New Roman" w:eastAsiaTheme="majorEastAsia" w:hAnsi="Times New Roman" w:cstheme="majorBidi"/>
      <w:b/>
      <w:smallCap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5B5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5B55"/>
    <w:rPr>
      <w:rFonts w:ascii="Times New Roman" w:eastAsiaTheme="majorEastAsia" w:hAnsi="Times New Roman" w:cstheme="majorBidi"/>
      <w:i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00214E"/>
    <w:pPr>
      <w:numPr>
        <w:numId w:val="2"/>
      </w:numPr>
    </w:pPr>
  </w:style>
  <w:style w:type="character" w:customStyle="1" w:styleId="ParagrafoelencoCarattere">
    <w:name w:val="Paragrafo elenco Carattere"/>
    <w:link w:val="Paragrafoelenco"/>
    <w:uiPriority w:val="34"/>
    <w:rsid w:val="00D06B4D"/>
    <w:rPr>
      <w:rFonts w:ascii="Times New Roman" w:hAnsi="Times New Roman"/>
      <w:sz w:val="24"/>
      <w:lang w:val="it-IT"/>
    </w:rPr>
  </w:style>
  <w:style w:type="table" w:styleId="Grigliatabella">
    <w:name w:val="Table Grid"/>
    <w:basedOn w:val="Tabellanormale"/>
    <w:uiPriority w:val="39"/>
    <w:rsid w:val="00D0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2273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2273"/>
    <w:rPr>
      <w:rFonts w:ascii="Times New Roman" w:hAnsi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227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E2461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461"/>
    <w:rPr>
      <w:rFonts w:ascii="Times New Roman" w:hAnsi="Times New Roman"/>
      <w:sz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E2461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461"/>
    <w:rPr>
      <w:rFonts w:ascii="Times New Roman" w:hAnsi="Times New Roman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Pirozzi</dc:creator>
  <cp:keywords/>
  <dc:description/>
  <cp:lastModifiedBy>Microsoft Office User</cp:lastModifiedBy>
  <cp:revision>2</cp:revision>
  <cp:lastPrinted>2022-01-25T08:28:00Z</cp:lastPrinted>
  <dcterms:created xsi:type="dcterms:W3CDTF">2022-02-17T14:49:00Z</dcterms:created>
  <dcterms:modified xsi:type="dcterms:W3CDTF">2022-02-17T14:49:00Z</dcterms:modified>
</cp:coreProperties>
</file>